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DD" w:rsidRDefault="00F347DD" w:rsidP="00F347DD">
      <w:pPr>
        <w:spacing w:after="141" w:line="259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rFonts w:cstheme="minorBidi" w:hint="cs"/>
          <w:color w:val="000000" w:themeColor="text1"/>
          <w:sz w:val="24"/>
          <w:szCs w:val="24"/>
          <w:rtl/>
          <w:lang w:bidi="ar-QA"/>
        </w:rPr>
        <w:t xml:space="preserve">*** </w:t>
      </w:r>
      <w:r w:rsidRPr="00FB205C">
        <w:rPr>
          <w:rFonts w:cstheme="minorBidi" w:hint="cs"/>
          <w:color w:val="000000" w:themeColor="text1"/>
          <w:sz w:val="24"/>
          <w:szCs w:val="24"/>
          <w:rtl/>
          <w:lang w:bidi="ar-QA"/>
        </w:rPr>
        <w:t xml:space="preserve">يُمكن تحميل هذه الوثيقة </w:t>
      </w:r>
      <w:r>
        <w:rPr>
          <w:rFonts w:cstheme="minorBidi" w:hint="cs"/>
          <w:color w:val="000000" w:themeColor="text1"/>
          <w:sz w:val="24"/>
          <w:szCs w:val="24"/>
          <w:rtl/>
          <w:lang w:bidi="ar-QA"/>
        </w:rPr>
        <w:t xml:space="preserve">من موقع </w:t>
      </w:r>
      <w:hyperlink r:id="rId7" w:history="1">
        <w:r w:rsidRPr="00F347DD">
          <w:rPr>
            <w:rStyle w:val="Hyperlink"/>
            <w:rFonts w:asciiTheme="minorBidi" w:hAnsiTheme="minorBidi" w:cstheme="minorBidi" w:hint="cs"/>
            <w:sz w:val="24"/>
            <w:szCs w:val="24"/>
            <w:rtl/>
          </w:rPr>
          <w:t>الميزان، البوابة القانونية القطرية</w:t>
        </w:r>
      </w:hyperlink>
    </w:p>
    <w:p w:rsidR="00BF6890" w:rsidRPr="00BF6890" w:rsidRDefault="00F347DD" w:rsidP="00F347DD">
      <w:pPr>
        <w:spacing w:after="141" w:line="259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</w:p>
    <w:p w:rsidR="001660EB" w:rsidRPr="00D34E65" w:rsidRDefault="000A5091" w:rsidP="002A2E84">
      <w:pPr>
        <w:pStyle w:val="Heading1"/>
        <w:rPr>
          <w:sz w:val="40"/>
          <w:szCs w:val="40"/>
          <w:u w:val="none"/>
        </w:rPr>
      </w:pPr>
      <w:r w:rsidRPr="00D34E65">
        <w:rPr>
          <w:b w:val="0"/>
          <w:bCs/>
          <w:sz w:val="40"/>
          <w:szCs w:val="40"/>
          <w:u w:val="none"/>
          <w:rtl/>
        </w:rPr>
        <w:t>قانون</w:t>
      </w:r>
      <w:r w:rsidRPr="00D34E65">
        <w:rPr>
          <w:sz w:val="40"/>
          <w:szCs w:val="40"/>
          <w:u w:val="none"/>
          <w:rtl/>
        </w:rPr>
        <w:t xml:space="preserve"> </w:t>
      </w:r>
      <w:r w:rsidRPr="00D34E65">
        <w:rPr>
          <w:b w:val="0"/>
          <w:bCs/>
          <w:sz w:val="40"/>
          <w:szCs w:val="40"/>
          <w:u w:val="none"/>
          <w:rtl/>
        </w:rPr>
        <w:t>رقم</w:t>
      </w:r>
      <w:r w:rsidR="00D34E65">
        <w:rPr>
          <w:sz w:val="40"/>
          <w:szCs w:val="40"/>
          <w:u w:val="none"/>
          <w:rtl/>
        </w:rPr>
        <w:t xml:space="preserve"> (</w:t>
      </w:r>
      <w:r w:rsidR="00D34E65">
        <w:rPr>
          <w:sz w:val="40"/>
          <w:szCs w:val="40"/>
          <w:u w:val="none"/>
        </w:rPr>
        <w:t>2</w:t>
      </w:r>
      <w:r w:rsidRPr="00D34E65">
        <w:rPr>
          <w:sz w:val="40"/>
          <w:szCs w:val="40"/>
          <w:u w:val="none"/>
          <w:rtl/>
        </w:rPr>
        <w:t xml:space="preserve">) لسنة </w:t>
      </w:r>
      <w:r w:rsidRPr="00D34E65">
        <w:rPr>
          <w:sz w:val="40"/>
          <w:szCs w:val="40"/>
          <w:u w:val="none"/>
        </w:rPr>
        <w:t>2004</w:t>
      </w:r>
      <w:r w:rsidRPr="00D34E65">
        <w:rPr>
          <w:sz w:val="40"/>
          <w:szCs w:val="40"/>
          <w:u w:val="none"/>
          <w:rtl/>
        </w:rPr>
        <w:t xml:space="preserve"> </w:t>
      </w:r>
      <w:r w:rsidRPr="00D34E65">
        <w:rPr>
          <w:b w:val="0"/>
          <w:bCs/>
          <w:sz w:val="40"/>
          <w:szCs w:val="40"/>
          <w:u w:val="none"/>
          <w:rtl/>
        </w:rPr>
        <w:t>بشأن</w:t>
      </w:r>
      <w:r w:rsidRPr="00D34E65">
        <w:rPr>
          <w:sz w:val="40"/>
          <w:szCs w:val="40"/>
          <w:u w:val="none"/>
          <w:rtl/>
        </w:rPr>
        <w:t xml:space="preserve"> </w:t>
      </w:r>
      <w:r w:rsidRPr="00D34E65">
        <w:rPr>
          <w:b w:val="0"/>
          <w:bCs/>
          <w:sz w:val="40"/>
          <w:szCs w:val="40"/>
          <w:u w:val="none"/>
          <w:rtl/>
        </w:rPr>
        <w:t>ذوي</w:t>
      </w:r>
      <w:r w:rsidRPr="00D34E65">
        <w:rPr>
          <w:sz w:val="40"/>
          <w:szCs w:val="40"/>
          <w:u w:val="none"/>
          <w:rtl/>
        </w:rPr>
        <w:t xml:space="preserve"> </w:t>
      </w:r>
      <w:r w:rsidRPr="00D34E65">
        <w:rPr>
          <w:b w:val="0"/>
          <w:bCs/>
          <w:sz w:val="40"/>
          <w:szCs w:val="40"/>
          <w:u w:val="none"/>
          <w:rtl/>
        </w:rPr>
        <w:t>الاحتياجات</w:t>
      </w:r>
      <w:r w:rsidRPr="00D34E65">
        <w:rPr>
          <w:sz w:val="40"/>
          <w:szCs w:val="40"/>
          <w:u w:val="none"/>
          <w:rtl/>
        </w:rPr>
        <w:t xml:space="preserve"> </w:t>
      </w:r>
      <w:r w:rsidRPr="00D34E65">
        <w:rPr>
          <w:b w:val="0"/>
          <w:bCs/>
          <w:sz w:val="40"/>
          <w:szCs w:val="40"/>
          <w:u w:val="none"/>
          <w:rtl/>
        </w:rPr>
        <w:t>الخاصة</w:t>
      </w:r>
    </w:p>
    <w:p w:rsidR="00BF6890" w:rsidRPr="00BF6890" w:rsidRDefault="00BF6890" w:rsidP="00455A0E">
      <w:pPr>
        <w:spacing w:after="122" w:line="259" w:lineRule="auto"/>
        <w:ind w:left="0" w:right="77" w:firstLine="0"/>
        <w:rPr>
          <w:rFonts w:asciiTheme="minorBidi" w:hAnsiTheme="minorBidi" w:cstheme="minorBidi"/>
          <w:sz w:val="24"/>
          <w:szCs w:val="24"/>
        </w:rPr>
      </w:pPr>
    </w:p>
    <w:p w:rsidR="001660EB" w:rsidRPr="002A2E84" w:rsidRDefault="00D34E65" w:rsidP="002A2E84">
      <w:pPr>
        <w:spacing w:after="322" w:line="360" w:lineRule="auto"/>
        <w:ind w:left="-12" w:firstLine="0"/>
        <w:rPr>
          <w:rFonts w:asciiTheme="minorBidi" w:hAnsiTheme="minorBidi" w:cstheme="minorBidi"/>
          <w:sz w:val="32"/>
          <w:szCs w:val="32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نحن حمد بن خليفة آل ثاني أمير دولة قطر،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بعد الاطلاع على </w:t>
      </w:r>
      <w:hyperlink r:id="rId8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النظام الأساسي المؤقت المعدل</w:t>
        </w:r>
      </w:hyperlink>
      <w:r w:rsidRPr="002A2E84">
        <w:rPr>
          <w:color w:val="2C2C2C"/>
          <w:sz w:val="32"/>
          <w:szCs w:val="32"/>
          <w:shd w:val="clear" w:color="auto" w:fill="FFFFFF"/>
          <w:rtl/>
        </w:rPr>
        <w:t>، وبخاصة على </w:t>
      </w:r>
      <w:hyperlink r:id="rId9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المواد (23)، (34</w:t>
        </w:r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)</w:t>
        </w:r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 xml:space="preserve">، </w:t>
        </w:r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(51)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منه، وعلى </w:t>
      </w:r>
      <w:hyperlink r:id="rId10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قانون العمل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رقم (3) لسنة 1962، والقوانين المعدلة له،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وعلى </w:t>
      </w:r>
      <w:hyperlink r:id="rId11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القانون رقم (1) لسنة 1964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بإنشاء نظام للمساكن الشعبية، والقوانين المعدلة له،</w:t>
      </w:r>
      <w:r w:rsid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وعلى </w:t>
      </w:r>
      <w:hyperlink r:id="rId12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القانون رقم (38) لسنة 1995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بشأن الضمان الاجتماعي،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وعلى </w:t>
      </w:r>
      <w:hyperlink r:id="rId13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القانون رقم (7) لسنة 1996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بشأن تنظيم العلاج الطبي والخدمات الصحية في الداخل، المعدل </w:t>
      </w:r>
      <w:hyperlink r:id="rId14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بالقانون رقم (16) لسنة 1996</w:t>
        </w:r>
      </w:hyperlink>
      <w:r w:rsidRPr="002A2E84">
        <w:rPr>
          <w:color w:val="2C2C2C"/>
          <w:sz w:val="32"/>
          <w:szCs w:val="32"/>
          <w:shd w:val="clear" w:color="auto" w:fill="FFFFFF"/>
          <w:rtl/>
        </w:rPr>
        <w:t>، وعلى </w:t>
      </w:r>
      <w:hyperlink r:id="rId15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قانون الخدمة المدنية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الصادر بالقانون رقم (1) لسنة 2001، وعلى </w:t>
      </w:r>
      <w:hyperlink r:id="rId16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القانون رقم (24) لسنة 2002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بشأن التقاعد والمعاشات، وعلى </w:t>
      </w:r>
      <w:hyperlink r:id="rId17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القرار الأميري رقم (23) لسنة 2002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بشأن المجلس الأعلى لشؤون الأسرة،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وعلى اقتراح المجلس الأعلى لشؤون الأسرة، وعلى مشروع القانون المقدم من مجلس الوزراء،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وبعد أخذ رأي مجلس الشورى،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قررنا القانون الآتي</w:t>
      </w:r>
      <w:r w:rsidRPr="002A2E84">
        <w:rPr>
          <w:color w:val="2C2C2C"/>
          <w:sz w:val="32"/>
          <w:szCs w:val="32"/>
          <w:shd w:val="clear" w:color="auto" w:fill="FFFFFF"/>
        </w:rPr>
        <w:t>:</w:t>
      </w:r>
    </w:p>
    <w:p w:rsidR="001660EB" w:rsidRPr="002A2E84" w:rsidRDefault="000A5091" w:rsidP="002A2E84">
      <w:pPr>
        <w:pStyle w:val="Heading1"/>
        <w:rPr>
          <w:b w:val="0"/>
          <w:bCs/>
          <w:sz w:val="40"/>
          <w:szCs w:val="40"/>
          <w:u w:val="none"/>
        </w:rPr>
      </w:pPr>
      <w:bookmarkStart w:id="0" w:name="_GoBack"/>
      <w:r w:rsidRPr="002A2E84">
        <w:rPr>
          <w:b w:val="0"/>
          <w:bCs/>
          <w:sz w:val="40"/>
          <w:szCs w:val="40"/>
          <w:u w:val="none"/>
          <w:rtl/>
        </w:rPr>
        <w:t>الموا</w:t>
      </w:r>
      <w:hyperlink r:id="rId18">
        <w:r w:rsidRPr="002A2E84">
          <w:rPr>
            <w:b w:val="0"/>
            <w:bCs/>
            <w:sz w:val="40"/>
            <w:szCs w:val="40"/>
            <w:u w:val="none"/>
            <w:rtl/>
          </w:rPr>
          <w:t>د</w:t>
        </w:r>
      </w:hyperlink>
      <w:r w:rsidR="002A2E84">
        <w:rPr>
          <w:rFonts w:hint="cs"/>
          <w:b w:val="0"/>
          <w:bCs/>
          <w:sz w:val="40"/>
          <w:szCs w:val="40"/>
          <w:u w:val="none"/>
          <w:rtl/>
        </w:rPr>
        <w:t xml:space="preserve"> (1-14):</w:t>
      </w:r>
    </w:p>
    <w:bookmarkEnd w:id="0"/>
    <w:p w:rsidR="001660EB" w:rsidRPr="002A2E84" w:rsidRDefault="002A2E84" w:rsidP="00E714DA">
      <w:pPr>
        <w:pStyle w:val="Heading2"/>
        <w:jc w:val="left"/>
        <w:rPr>
          <w:b/>
          <w:bCs/>
          <w:sz w:val="36"/>
          <w:szCs w:val="36"/>
        </w:rPr>
      </w:pPr>
      <w:r w:rsidRPr="002A2E84">
        <w:rPr>
          <w:rFonts w:hint="cs"/>
          <w:b/>
          <w:bCs/>
          <w:sz w:val="36"/>
          <w:szCs w:val="36"/>
          <w:rtl/>
        </w:rPr>
        <w:t>المادة 1</w:t>
      </w:r>
    </w:p>
    <w:p w:rsidR="001660EB" w:rsidRPr="002A2E84" w:rsidRDefault="000A5091" w:rsidP="00383EFB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في تطبيق أحكام هذا القانون٬ تكون للكلمات والعبارات التالية</w:t>
      </w:r>
      <w:r w:rsidR="00383EFB">
        <w:rPr>
          <w:rFonts w:hint="cs"/>
          <w:color w:val="2C2C2C"/>
          <w:sz w:val="32"/>
          <w:szCs w:val="32"/>
          <w:shd w:val="clear" w:color="auto" w:fill="FFFFFF"/>
          <w:rtl/>
        </w:rPr>
        <w:t>،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المعاني الموضحة قرين كل منها</w:t>
      </w:r>
      <w:r w:rsidR="00383EFB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ما لم يقتض السياق معنى آخر:</w:t>
      </w:r>
    </w:p>
    <w:p w:rsidR="001660EB" w:rsidRPr="00383EFB" w:rsidRDefault="00455A0E" w:rsidP="00383EFB">
      <w:pPr>
        <w:pStyle w:val="ListParagraph"/>
        <w:numPr>
          <w:ilvl w:val="0"/>
          <w:numId w:val="5"/>
        </w:numPr>
        <w:rPr>
          <w:color w:val="2C2C2C"/>
          <w:sz w:val="32"/>
          <w:szCs w:val="32"/>
          <w:shd w:val="clear" w:color="auto" w:fill="FFFFFF"/>
        </w:rPr>
      </w:pPr>
      <w:r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المجلس: المجلس</w:t>
      </w:r>
      <w:r w:rsidR="000A5091" w:rsidRPr="00383EFB">
        <w:rPr>
          <w:color w:val="2C2C2C"/>
          <w:sz w:val="32"/>
          <w:szCs w:val="32"/>
          <w:shd w:val="clear" w:color="auto" w:fill="FFFFFF"/>
          <w:rtl/>
        </w:rPr>
        <w:t xml:space="preserve"> الأعلى لشؤون الأسرة.</w:t>
      </w:r>
    </w:p>
    <w:p w:rsidR="001660EB" w:rsidRPr="00383EFB" w:rsidRDefault="000A5091" w:rsidP="00383EFB">
      <w:pPr>
        <w:pStyle w:val="ListParagraph"/>
        <w:numPr>
          <w:ilvl w:val="0"/>
          <w:numId w:val="5"/>
        </w:numPr>
        <w:rPr>
          <w:color w:val="2C2C2C"/>
          <w:sz w:val="32"/>
          <w:szCs w:val="32"/>
          <w:shd w:val="clear" w:color="auto" w:fill="FFFFFF"/>
        </w:rPr>
      </w:pP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ذو الاحتياجات </w:t>
      </w:r>
      <w:r w:rsidR="00455A0E"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الخاصة: كل</w:t>
      </w: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 شخص مصاب بعجز كلي أو جزئي دائم في أي من حواسه أو قدراته الجسمية أو النفسية أو العقلية إلى المدى الذي يحد من إمكانيته للتعلم أو التأهيل أو العمل.</w:t>
      </w:r>
    </w:p>
    <w:p w:rsidR="001660EB" w:rsidRPr="00383EFB" w:rsidRDefault="000A5091" w:rsidP="00383EFB">
      <w:pPr>
        <w:pStyle w:val="ListParagraph"/>
        <w:numPr>
          <w:ilvl w:val="0"/>
          <w:numId w:val="5"/>
        </w:numPr>
        <w:rPr>
          <w:color w:val="2C2C2C"/>
          <w:sz w:val="32"/>
          <w:szCs w:val="32"/>
          <w:shd w:val="clear" w:color="auto" w:fill="FFFFFF"/>
        </w:rPr>
      </w:pP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التربية </w:t>
      </w:r>
      <w:r w:rsidR="00455A0E"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الخاصة: الخدمات</w:t>
      </w: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 التربوية والتعليمية التي تقدم لذوي الاحتياجات الخاصة لتلبية احتياجاتهم وتنمية قدراتهم بالقدر الذي تسمح به حالة كل منهم.</w:t>
      </w:r>
    </w:p>
    <w:p w:rsidR="001660EB" w:rsidRPr="00383EFB" w:rsidRDefault="00455A0E" w:rsidP="00383EFB">
      <w:pPr>
        <w:pStyle w:val="ListParagraph"/>
        <w:numPr>
          <w:ilvl w:val="0"/>
          <w:numId w:val="5"/>
        </w:numPr>
        <w:spacing w:after="1" w:line="254" w:lineRule="auto"/>
        <w:ind w:right="-15"/>
        <w:rPr>
          <w:color w:val="2C2C2C"/>
          <w:sz w:val="32"/>
          <w:szCs w:val="32"/>
          <w:shd w:val="clear" w:color="auto" w:fill="FFFFFF"/>
        </w:rPr>
      </w:pPr>
      <w:r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lastRenderedPageBreak/>
        <w:t>التأهيل: إعداد</w:t>
      </w:r>
      <w:r w:rsidR="000A5091" w:rsidRPr="00383EFB">
        <w:rPr>
          <w:color w:val="2C2C2C"/>
          <w:sz w:val="32"/>
          <w:szCs w:val="32"/>
          <w:shd w:val="clear" w:color="auto" w:fill="FFFFFF"/>
          <w:rtl/>
        </w:rPr>
        <w:t xml:space="preserve"> الشخص ذي الاحتياجات الخاصة لتنمية قدراته عن طريق العلاج الطبي والأجهزة التعويضية والتعليم والتدريب المهني بما يتناسب مع </w:t>
      </w:r>
      <w:r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حالته. وتقديم</w:t>
      </w:r>
      <w:r w:rsidR="000A5091" w:rsidRPr="00383EFB">
        <w:rPr>
          <w:color w:val="2C2C2C"/>
          <w:sz w:val="32"/>
          <w:szCs w:val="32"/>
          <w:shd w:val="clear" w:color="auto" w:fill="FFFFFF"/>
          <w:rtl/>
        </w:rPr>
        <w:t xml:space="preserve"> الخدمات والأنشطة التي تمكنه من ممارسة</w:t>
      </w:r>
      <w:r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="000A5091" w:rsidRPr="00383EFB">
        <w:rPr>
          <w:color w:val="2C2C2C"/>
          <w:sz w:val="32"/>
          <w:szCs w:val="32"/>
          <w:shd w:val="clear" w:color="auto" w:fill="FFFFFF"/>
          <w:rtl/>
        </w:rPr>
        <w:t>حياته بشكل أفضل.</w:t>
      </w:r>
    </w:p>
    <w:p w:rsidR="001660EB" w:rsidRPr="00383EFB" w:rsidRDefault="000A5091" w:rsidP="00383EFB">
      <w:pPr>
        <w:pStyle w:val="ListParagraph"/>
        <w:numPr>
          <w:ilvl w:val="0"/>
          <w:numId w:val="5"/>
        </w:numPr>
        <w:rPr>
          <w:color w:val="2C2C2C"/>
          <w:sz w:val="32"/>
          <w:szCs w:val="32"/>
          <w:shd w:val="clear" w:color="auto" w:fill="FFFFFF"/>
        </w:rPr>
      </w:pP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الجهات </w:t>
      </w:r>
      <w:r w:rsidR="00455A0E"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المختصة: الوزارات</w:t>
      </w: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 والأجهزة الحكومية الأخرى٬ والهيئات والمؤسسات العامة بحسب الأحوال.</w:t>
      </w:r>
    </w:p>
    <w:p w:rsidR="001660EB" w:rsidRPr="00383EFB" w:rsidRDefault="000A5091" w:rsidP="00383EFB">
      <w:pPr>
        <w:pStyle w:val="ListParagraph"/>
        <w:numPr>
          <w:ilvl w:val="0"/>
          <w:numId w:val="5"/>
        </w:numPr>
        <w:spacing w:after="329"/>
        <w:rPr>
          <w:color w:val="2C2C2C"/>
          <w:sz w:val="32"/>
          <w:szCs w:val="32"/>
          <w:shd w:val="clear" w:color="auto" w:fill="FFFFFF"/>
        </w:rPr>
      </w:pP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معاهد التربية </w:t>
      </w:r>
      <w:r w:rsidR="00455A0E"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الخاصة: المعاهد</w:t>
      </w: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 أو المراكز أو المدارس أو الفصول المتخصصة في تأهيل ذوي الاحتياجات الخاصة والتي يعتمدها المجلس بالتنسيق مع الجهات المختصة.</w:t>
      </w:r>
    </w:p>
    <w:p w:rsidR="00E714DA" w:rsidRPr="002A2E84" w:rsidRDefault="000A5091" w:rsidP="002A2E84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b/>
          <w:bCs/>
          <w:sz w:val="36"/>
          <w:szCs w:val="36"/>
        </w:rPr>
        <w:t xml:space="preserve"> </w:t>
      </w:r>
      <w:r w:rsidR="00E714DA" w:rsidRPr="002A2E84">
        <w:rPr>
          <w:rFonts w:hint="cs"/>
          <w:b/>
          <w:bCs/>
          <w:sz w:val="36"/>
          <w:szCs w:val="36"/>
          <w:rtl/>
        </w:rPr>
        <w:t>المادة 2</w:t>
      </w:r>
    </w:p>
    <w:p w:rsidR="001660EB" w:rsidRPr="002A2E84" w:rsidRDefault="000A5091" w:rsidP="00383EFB">
      <w:pPr>
        <w:spacing w:line="360" w:lineRule="auto"/>
        <w:ind w:left="8"/>
        <w:rPr>
          <w:rFonts w:asciiTheme="minorBidi" w:hAnsiTheme="minorBidi" w:cstheme="minorBidi"/>
          <w:sz w:val="32"/>
          <w:szCs w:val="32"/>
        </w:rPr>
      </w:pPr>
      <w:r w:rsidRPr="002A2E84">
        <w:rPr>
          <w:rFonts w:asciiTheme="minorBidi" w:hAnsiTheme="minorBidi" w:cstheme="minorBidi"/>
          <w:sz w:val="32"/>
          <w:szCs w:val="32"/>
          <w:rtl/>
        </w:rPr>
        <w:t>يتمتع ذوو الاحتياجات الخاصة إضافة إلى ما يتمتعون به من حقوق بموجب التشريعات الأخرى</w:t>
      </w:r>
      <w:r w:rsidR="00383EFB">
        <w:rPr>
          <w:rFonts w:asciiTheme="minorBidi" w:hAnsiTheme="minorBidi" w:cstheme="minorBidi" w:hint="cs"/>
          <w:sz w:val="32"/>
          <w:szCs w:val="32"/>
          <w:rtl/>
        </w:rPr>
        <w:t>،</w:t>
      </w:r>
      <w:r w:rsidRPr="002A2E84">
        <w:rPr>
          <w:rFonts w:asciiTheme="minorBidi" w:hAnsiTheme="minorBidi" w:cstheme="minorBidi"/>
          <w:sz w:val="32"/>
          <w:szCs w:val="32"/>
          <w:rtl/>
        </w:rPr>
        <w:t xml:space="preserve"> بالحقوق </w:t>
      </w:r>
      <w:r w:rsidR="00455A0E" w:rsidRPr="002A2E84">
        <w:rPr>
          <w:rFonts w:asciiTheme="minorBidi" w:hAnsiTheme="minorBidi" w:cstheme="minorBidi" w:hint="cs"/>
          <w:sz w:val="32"/>
          <w:szCs w:val="32"/>
          <w:rtl/>
        </w:rPr>
        <w:t>التالية: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التربية والتعليم والتأهيل كل حسب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قدراته.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الرعاية الطبية والنفسية والثقافية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والاجتماعية.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الحصول على الأدوات والأجهزة ووسائل النقل والمعدات التي تساعدهم على التعلم والتأهل والحركة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والتنقل.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توفير خدمات الإغاثة والمعونة والخدمات المساعدة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الأخرى.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العمل الذي يتناسب مع قدراتهم ومؤهلاتهم وتأهيلهم في القطاعين الحكومي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والخاص.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ممارسة الرياضة والترويح وفقاً لقدراتهم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الخاصة.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المسكن الذي يكفل لهم الحركة والتنقل بأمان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وسلامة.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تأمين المرافق الخاصة بهم في الأماكن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العامة.</w:t>
      </w:r>
    </w:p>
    <w:p w:rsidR="001660EB" w:rsidRDefault="000A5091" w:rsidP="00383EFB">
      <w:pPr>
        <w:pStyle w:val="ListParagraph"/>
        <w:numPr>
          <w:ilvl w:val="0"/>
          <w:numId w:val="6"/>
        </w:numPr>
        <w:spacing w:after="729"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>تأمين مشاركتهم في القرارات المتعلقة بهم.</w:t>
      </w:r>
    </w:p>
    <w:p w:rsidR="001660EB" w:rsidRPr="002A2E84" w:rsidRDefault="00E714DA" w:rsidP="00E714DA">
      <w:pPr>
        <w:pStyle w:val="Heading2"/>
        <w:jc w:val="left"/>
        <w:rPr>
          <w:b/>
          <w:bCs/>
          <w:sz w:val="36"/>
          <w:szCs w:val="36"/>
        </w:rPr>
      </w:pPr>
      <w:r w:rsidRPr="002A2E84">
        <w:rPr>
          <w:rFonts w:hint="cs"/>
          <w:b/>
          <w:bCs/>
          <w:sz w:val="36"/>
          <w:szCs w:val="36"/>
          <w:rtl/>
        </w:rPr>
        <w:lastRenderedPageBreak/>
        <w:t>المادة 3</w:t>
      </w:r>
    </w:p>
    <w:p w:rsidR="001660EB" w:rsidRPr="002A2E84" w:rsidRDefault="000A5091" w:rsidP="002A2E84">
      <w:pPr>
        <w:spacing w:after="1" w:line="360" w:lineRule="auto"/>
        <w:ind w:left="-3" w:right="116" w:firstLine="48"/>
        <w:rPr>
          <w:rFonts w:asciiTheme="minorBidi" w:hAnsiTheme="minorBidi" w:cstheme="minorBidi"/>
          <w:sz w:val="32"/>
          <w:szCs w:val="32"/>
        </w:rPr>
      </w:pPr>
      <w:r w:rsidRPr="002A2E84">
        <w:rPr>
          <w:rFonts w:asciiTheme="minorBidi" w:hAnsiTheme="minorBidi" w:cstheme="minorBidi"/>
          <w:sz w:val="32"/>
          <w:szCs w:val="32"/>
          <w:rtl/>
        </w:rPr>
        <w:t>يعمل المجلس</w:t>
      </w:r>
      <w:r w:rsidR="00383EFB">
        <w:rPr>
          <w:rFonts w:asciiTheme="minorBidi" w:hAnsiTheme="minorBidi" w:hint="cs"/>
          <w:sz w:val="32"/>
          <w:szCs w:val="32"/>
          <w:rtl/>
        </w:rPr>
        <w:t xml:space="preserve">، </w:t>
      </w:r>
      <w:r w:rsidRPr="002A2E84">
        <w:rPr>
          <w:rFonts w:asciiTheme="minorBidi" w:hAnsiTheme="minorBidi" w:cstheme="minorBidi"/>
          <w:sz w:val="32"/>
          <w:szCs w:val="32"/>
          <w:rtl/>
        </w:rPr>
        <w:t>بالتنسيق مع الجهات المختصة وجميع الجهات المعنية</w:t>
      </w:r>
      <w:r w:rsidR="00383EFB">
        <w:rPr>
          <w:rFonts w:asciiTheme="minorBidi" w:hAnsiTheme="minorBidi" w:hint="cs"/>
          <w:sz w:val="32"/>
          <w:szCs w:val="32"/>
          <w:rtl/>
        </w:rPr>
        <w:t xml:space="preserve">، </w:t>
      </w:r>
      <w:r w:rsidRPr="002A2E84">
        <w:rPr>
          <w:rFonts w:asciiTheme="minorBidi" w:hAnsiTheme="minorBidi" w:cstheme="minorBidi"/>
          <w:sz w:val="32"/>
          <w:szCs w:val="32"/>
          <w:rtl/>
        </w:rPr>
        <w:t>على ضمان تقديم هذه الجهات خدماتها</w:t>
      </w:r>
      <w:r w:rsidR="00383EFB">
        <w:rPr>
          <w:rFonts w:asciiTheme="minorBidi" w:hAnsiTheme="minorBidi" w:hint="cs"/>
          <w:sz w:val="32"/>
          <w:szCs w:val="32"/>
          <w:rtl/>
        </w:rPr>
        <w:t xml:space="preserve">، </w:t>
      </w:r>
      <w:r w:rsidRPr="002A2E84">
        <w:rPr>
          <w:rFonts w:asciiTheme="minorBidi" w:hAnsiTheme="minorBidi" w:cstheme="minorBidi"/>
          <w:sz w:val="32"/>
          <w:szCs w:val="32"/>
          <w:rtl/>
        </w:rPr>
        <w:t>وبرامجها لذوي الاحتياجات الخاصة في المجالات المنصوص عليها في المادة السابقة</w:t>
      </w:r>
      <w:r w:rsidR="00383EFB">
        <w:rPr>
          <w:rFonts w:asciiTheme="minorBidi" w:hAnsiTheme="minorBidi" w:hint="cs"/>
          <w:sz w:val="32"/>
          <w:szCs w:val="32"/>
          <w:rtl/>
        </w:rPr>
        <w:t xml:space="preserve">، </w:t>
      </w:r>
      <w:r w:rsidRPr="002A2E84">
        <w:rPr>
          <w:rFonts w:asciiTheme="minorBidi" w:hAnsiTheme="minorBidi" w:cstheme="minorBidi"/>
          <w:sz w:val="32"/>
          <w:szCs w:val="32"/>
          <w:rtl/>
        </w:rPr>
        <w:t>وبوجه</w:t>
      </w:r>
      <w:r w:rsidR="00455A0E" w:rsidRPr="002A2E84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Pr="002A2E84">
        <w:rPr>
          <w:rFonts w:asciiTheme="minorBidi" w:hAnsiTheme="minorBidi" w:cstheme="minorBidi"/>
          <w:sz w:val="32"/>
          <w:szCs w:val="32"/>
          <w:rtl/>
        </w:rPr>
        <w:t xml:space="preserve">خاص ما </w:t>
      </w:r>
      <w:r w:rsidR="00455A0E" w:rsidRPr="002A2E84">
        <w:rPr>
          <w:rFonts w:asciiTheme="minorBidi" w:hAnsiTheme="minorBidi" w:cstheme="minorBidi" w:hint="cs"/>
          <w:sz w:val="32"/>
          <w:szCs w:val="32"/>
          <w:rtl/>
        </w:rPr>
        <w:t>يلي:</w:t>
      </w:r>
    </w:p>
    <w:p w:rsidR="001660EB" w:rsidRPr="00383EFB" w:rsidRDefault="000A5091" w:rsidP="00383EFB">
      <w:pPr>
        <w:pStyle w:val="ListParagraph"/>
        <w:numPr>
          <w:ilvl w:val="0"/>
          <w:numId w:val="7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>توفير الخدمات الطبية الوقائية والعلاجية والصحية والنفسية</w:t>
      </w:r>
      <w:r w:rsidRPr="00383EFB">
        <w:rPr>
          <w:rFonts w:asciiTheme="minorBidi" w:hAnsiTheme="minorBidi"/>
          <w:sz w:val="32"/>
          <w:szCs w:val="32"/>
          <w:rtl/>
        </w:rPr>
        <w:t>٬</w:t>
      </w:r>
      <w:r w:rsidRPr="00383EFB">
        <w:rPr>
          <w:rFonts w:asciiTheme="minorBidi" w:hAnsiTheme="minorBidi" w:cstheme="minorBidi"/>
          <w:sz w:val="32"/>
          <w:szCs w:val="32"/>
          <w:rtl/>
        </w:rPr>
        <w:t xml:space="preserve"> وتوفير التقارير الطبية الخاصة</w:t>
      </w:r>
      <w:r w:rsidRPr="00383EFB">
        <w:rPr>
          <w:rFonts w:asciiTheme="minorBidi" w:hAnsiTheme="minorBidi"/>
          <w:sz w:val="32"/>
          <w:szCs w:val="32"/>
          <w:rtl/>
        </w:rPr>
        <w:t>٬</w:t>
      </w:r>
      <w:r w:rsidRPr="00383EFB">
        <w:rPr>
          <w:rFonts w:asciiTheme="minorBidi" w:hAnsiTheme="minorBidi" w:cstheme="minorBidi"/>
          <w:sz w:val="32"/>
          <w:szCs w:val="32"/>
          <w:rtl/>
        </w:rPr>
        <w:t xml:space="preserve"> ولمن يعولونهم بالمجان بشرط ألا يكونوا مشمولين بأي نظام تأمين صحي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آخر.</w:t>
      </w:r>
    </w:p>
    <w:p w:rsidR="001660EB" w:rsidRPr="00DC754F" w:rsidRDefault="000A5091" w:rsidP="00DC754F">
      <w:pPr>
        <w:pStyle w:val="ListParagraph"/>
        <w:numPr>
          <w:ilvl w:val="0"/>
          <w:numId w:val="7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DC754F">
        <w:rPr>
          <w:rFonts w:asciiTheme="minorBidi" w:hAnsiTheme="minorBidi" w:cstheme="minorBidi"/>
          <w:sz w:val="32"/>
          <w:szCs w:val="32"/>
          <w:rtl/>
        </w:rPr>
        <w:t xml:space="preserve">توفير فرص العمل والتشغيل لذوي الاحتياجات الخاصة حسب قدراتهم وتأهيلهم بالجهات </w:t>
      </w:r>
      <w:r w:rsidR="00455A0E" w:rsidRPr="00DC754F">
        <w:rPr>
          <w:rFonts w:asciiTheme="minorBidi" w:hAnsiTheme="minorBidi" w:cstheme="minorBidi" w:hint="cs"/>
          <w:sz w:val="32"/>
          <w:szCs w:val="32"/>
          <w:rtl/>
        </w:rPr>
        <w:t>المختصة.</w:t>
      </w:r>
    </w:p>
    <w:p w:rsidR="001660EB" w:rsidRPr="00DC754F" w:rsidRDefault="000A5091" w:rsidP="00DC754F">
      <w:pPr>
        <w:pStyle w:val="ListParagraph"/>
        <w:numPr>
          <w:ilvl w:val="0"/>
          <w:numId w:val="7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DC754F">
        <w:rPr>
          <w:rFonts w:asciiTheme="minorBidi" w:hAnsiTheme="minorBidi" w:cstheme="minorBidi"/>
          <w:sz w:val="32"/>
          <w:szCs w:val="32"/>
          <w:rtl/>
        </w:rPr>
        <w:t xml:space="preserve">توعية المواطنين بحقوق ذوي الاحتياجات الخاصة والعمل على تقديم العون اللازم لهم وحسن معاملتهم واندماجهم في </w:t>
      </w:r>
      <w:r w:rsidR="00455A0E" w:rsidRPr="00DC754F">
        <w:rPr>
          <w:rFonts w:asciiTheme="minorBidi" w:hAnsiTheme="minorBidi" w:cstheme="minorBidi" w:hint="cs"/>
          <w:sz w:val="32"/>
          <w:szCs w:val="32"/>
          <w:rtl/>
        </w:rPr>
        <w:t>المجتمع.</w:t>
      </w:r>
    </w:p>
    <w:p w:rsidR="001660EB" w:rsidRPr="00DC754F" w:rsidRDefault="000A5091" w:rsidP="00DC754F">
      <w:pPr>
        <w:pStyle w:val="ListParagraph"/>
        <w:numPr>
          <w:ilvl w:val="0"/>
          <w:numId w:val="7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DC754F">
        <w:rPr>
          <w:rFonts w:asciiTheme="minorBidi" w:hAnsiTheme="minorBidi" w:cstheme="minorBidi"/>
          <w:sz w:val="32"/>
          <w:szCs w:val="32"/>
          <w:rtl/>
        </w:rPr>
        <w:t>تقديم البرامج التعليمية والتأهيلية المناسبة</w:t>
      </w:r>
      <w:r w:rsidRPr="00DC754F">
        <w:rPr>
          <w:rFonts w:asciiTheme="minorBidi" w:hAnsiTheme="minorBidi"/>
          <w:sz w:val="32"/>
          <w:szCs w:val="32"/>
          <w:rtl/>
        </w:rPr>
        <w:t>٬</w:t>
      </w:r>
      <w:r w:rsidRPr="00DC754F">
        <w:rPr>
          <w:rFonts w:asciiTheme="minorBidi" w:hAnsiTheme="minorBidi" w:cstheme="minorBidi"/>
          <w:sz w:val="32"/>
          <w:szCs w:val="32"/>
          <w:rtl/>
        </w:rPr>
        <w:t xml:space="preserve"> وبرامج التربية الخاصة وتوفير وإعداد الكوادر الفنية المؤهلة للتعامل مع ذوي الاحتياجات </w:t>
      </w:r>
      <w:r w:rsidR="00455A0E" w:rsidRPr="00DC754F">
        <w:rPr>
          <w:rFonts w:asciiTheme="minorBidi" w:hAnsiTheme="minorBidi" w:cstheme="minorBidi" w:hint="cs"/>
          <w:sz w:val="32"/>
          <w:szCs w:val="32"/>
          <w:rtl/>
        </w:rPr>
        <w:t>الخاصة.</w:t>
      </w:r>
    </w:p>
    <w:p w:rsidR="001660EB" w:rsidRPr="00DC754F" w:rsidRDefault="000A5091" w:rsidP="00DC754F">
      <w:pPr>
        <w:pStyle w:val="ListParagraph"/>
        <w:numPr>
          <w:ilvl w:val="0"/>
          <w:numId w:val="7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DC754F">
        <w:rPr>
          <w:rFonts w:asciiTheme="minorBidi" w:hAnsiTheme="minorBidi" w:cstheme="minorBidi"/>
          <w:sz w:val="32"/>
          <w:szCs w:val="32"/>
          <w:rtl/>
        </w:rPr>
        <w:t xml:space="preserve">توفير فرص ممارسة الرياضة والترويج لهم بما يلبي حاجاتهم وتطوير </w:t>
      </w:r>
      <w:r w:rsidR="00455A0E" w:rsidRPr="00DC754F">
        <w:rPr>
          <w:rFonts w:asciiTheme="minorBidi" w:hAnsiTheme="minorBidi" w:cstheme="minorBidi" w:hint="cs"/>
          <w:sz w:val="32"/>
          <w:szCs w:val="32"/>
          <w:rtl/>
        </w:rPr>
        <w:t>قدراتهم.</w:t>
      </w:r>
    </w:p>
    <w:p w:rsidR="001660EB" w:rsidRPr="00DC754F" w:rsidRDefault="000A5091" w:rsidP="00DC754F">
      <w:pPr>
        <w:pStyle w:val="ListParagraph"/>
        <w:numPr>
          <w:ilvl w:val="0"/>
          <w:numId w:val="7"/>
        </w:numPr>
        <w:spacing w:after="329" w:line="360" w:lineRule="auto"/>
        <w:rPr>
          <w:rFonts w:asciiTheme="minorBidi" w:hAnsiTheme="minorBidi" w:cstheme="minorBidi"/>
          <w:sz w:val="32"/>
          <w:szCs w:val="32"/>
        </w:rPr>
      </w:pPr>
      <w:r w:rsidRPr="00DC754F">
        <w:rPr>
          <w:rFonts w:asciiTheme="minorBidi" w:hAnsiTheme="minorBidi" w:cstheme="minorBidi"/>
          <w:sz w:val="32"/>
          <w:szCs w:val="32"/>
          <w:rtl/>
        </w:rPr>
        <w:t>توفير الخدمات الخاصة بهم في مجال الرعاية والعناية والإغاثة والتدريب والتأهيل المهني والخدمات الأسرية والتقنية والرياضية والترويحية.</w:t>
      </w:r>
    </w:p>
    <w:p w:rsidR="001660EB" w:rsidRPr="002A2E84" w:rsidRDefault="000A5091" w:rsidP="00E714DA">
      <w:pPr>
        <w:pStyle w:val="Heading2"/>
        <w:jc w:val="left"/>
        <w:rPr>
          <w:b/>
          <w:bCs/>
          <w:sz w:val="36"/>
          <w:szCs w:val="36"/>
        </w:rPr>
      </w:pPr>
      <w:r w:rsidRPr="002A2E84">
        <w:rPr>
          <w:b/>
          <w:bCs/>
          <w:sz w:val="36"/>
          <w:szCs w:val="36"/>
        </w:rPr>
        <w:t xml:space="preserve"> </w:t>
      </w:r>
      <w:r w:rsidRPr="002A2E84">
        <w:rPr>
          <w:b/>
          <w:bCs/>
          <w:sz w:val="36"/>
          <w:szCs w:val="36"/>
          <w:rtl/>
        </w:rPr>
        <w:t xml:space="preserve">المادة </w:t>
      </w:r>
      <w:r w:rsidR="00455A0E" w:rsidRPr="002A2E84">
        <w:rPr>
          <w:rFonts w:hint="cs"/>
          <w:b/>
          <w:bCs/>
          <w:sz w:val="36"/>
          <w:szCs w:val="36"/>
          <w:rtl/>
        </w:rPr>
        <w:t>4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تمنح معاهد التربية الخاصة شهادة لكل من أتم تأهيله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فيها. كما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تمنح بطاقات تعريف لذوي الاحتياجات الخاصة الذين لا يحتاجون لخدمات تأهيل٬ وذلك بناء على طلبهم أو طلب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ذويهم. ويحدد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المجلس البيانات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التي تشتمل عليها كل من شهادة التأهيل وبطاقة التعريف.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1660EB" w:rsidRPr="00BF6890" w:rsidRDefault="000A5091" w:rsidP="002A2E84">
      <w:pPr>
        <w:pStyle w:val="Heading2"/>
        <w:jc w:val="left"/>
      </w:pPr>
      <w:r w:rsidRPr="00BF6890">
        <w:t xml:space="preserve"> </w:t>
      </w:r>
      <w:r w:rsidRPr="002A2E84">
        <w:rPr>
          <w:b/>
          <w:bCs/>
          <w:sz w:val="36"/>
          <w:szCs w:val="36"/>
          <w:rtl/>
        </w:rPr>
        <w:t xml:space="preserve">المادة </w:t>
      </w:r>
      <w:r w:rsidRPr="002A2E84">
        <w:rPr>
          <w:b/>
          <w:bCs/>
          <w:sz w:val="36"/>
          <w:szCs w:val="36"/>
        </w:rPr>
        <w:t>5</w:t>
      </w:r>
    </w:p>
    <w:p w:rsidR="001660EB" w:rsidRPr="002A2E84" w:rsidRDefault="000A5091" w:rsidP="00455A0E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يخصص لذوي الاحتياجات الخاصة الذين يحملون الشهادات أو البطاقات المنصوص عليها في المادة السابقة٬ نسبة لا تقل عن </w:t>
      </w:r>
      <w:r w:rsidRPr="002A2E84">
        <w:rPr>
          <w:color w:val="2C2C2C"/>
          <w:sz w:val="32"/>
          <w:szCs w:val="32"/>
          <w:shd w:val="clear" w:color="auto" w:fill="FFFFFF"/>
        </w:rPr>
        <w:t>2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% من مجموع درجات الوظائف في الجهات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المختصة.</w:t>
      </w:r>
    </w:p>
    <w:p w:rsidR="001660EB" w:rsidRPr="002A2E84" w:rsidRDefault="000A5091" w:rsidP="00455A0E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lastRenderedPageBreak/>
        <w:t xml:space="preserve">ويكون التعيين وفقاً لقدرات ومؤهلات ذوي الاحتياجات الخاصة بناء على ترشيح المجلس بالتنسيق مع الجهات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المختصة.</w:t>
      </w:r>
    </w:p>
    <w:p w:rsidR="001660EB" w:rsidRPr="002A2E84" w:rsidRDefault="000A5091" w:rsidP="00455A0E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ويلتزم كل صاحب عمل في القطاع الخاص يستخدم خمسة وعشرين عاملاً فأكثر٬ بتخصيص النسبة المنصوص عليها في الفقرة الأولى لذوي الاحتياجات الخاصة لتعيينهم فيها وبحد أدنى عامل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واحد.</w:t>
      </w:r>
    </w:p>
    <w:p w:rsidR="001660EB" w:rsidRDefault="000A5091" w:rsidP="002A2E84">
      <w:pPr>
        <w:ind w:left="8"/>
        <w:rPr>
          <w:rFonts w:asciiTheme="minorBidi" w:hAnsiTheme="minorBidi" w:cstheme="minorBidi"/>
          <w:sz w:val="24"/>
          <w:szCs w:val="24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وفي جميع الأحوال لا يجوز التعيين في هذه الوظائف من غير ذوي الاحتياجات الخاصة٬ إلا في حالة عدم وجود من يستحق التعيين منهم فيها٬ وبشرط موافقة المجلس كتابة على ذلك</w:t>
      </w:r>
      <w:r w:rsidRPr="00BF6890">
        <w:rPr>
          <w:rFonts w:asciiTheme="minorBidi" w:hAnsiTheme="minorBidi" w:cstheme="minorBidi"/>
          <w:sz w:val="24"/>
          <w:szCs w:val="24"/>
          <w:rtl/>
        </w:rPr>
        <w:t>.</w:t>
      </w:r>
    </w:p>
    <w:p w:rsidR="00F347DD" w:rsidRPr="00BF6890" w:rsidRDefault="00F347DD" w:rsidP="002A2E84">
      <w:pPr>
        <w:ind w:left="8"/>
        <w:rPr>
          <w:rFonts w:asciiTheme="minorBidi" w:hAnsiTheme="minorBidi" w:cstheme="minorBidi"/>
          <w:sz w:val="24"/>
          <w:szCs w:val="24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>المادة 6</w:t>
      </w:r>
    </w:p>
    <w:p w:rsidR="001660EB" w:rsidRPr="002A2E84" w:rsidRDefault="000A5091" w:rsidP="00455A0E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تكون الأولوية في التعيين في الوظائف والأعمال المخصصة لذوي الاحتياجات الخاصة للمصابين منهم بسبب العمليات الحربية أو اثناء أداء الخدمة العسكرية أو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بسببها.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ويكون لمن يعين من هؤلاء المصابين٬ حق الجمع بين راتب العمل والراتب التقاعدي الذي يتقاضاه.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>المادة 7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لا يجوز حرمان ذوي الاحتياجات الخاصة الذين يتم تشغيلهم طبقاً لأحكام هذا القانون من أي مزايا أو حقوق مقررة بصفة عامة للعاملين في الجهات التي يعملون بها.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</w:rPr>
      </w:pPr>
      <w:r w:rsidRPr="002A2E84">
        <w:rPr>
          <w:rFonts w:hint="cs"/>
          <w:b/>
          <w:bCs/>
          <w:sz w:val="36"/>
          <w:szCs w:val="36"/>
          <w:rtl/>
        </w:rPr>
        <w:t xml:space="preserve">المادة 8 </w:t>
      </w:r>
    </w:p>
    <w:p w:rsidR="001660EB" w:rsidRPr="002A2E84" w:rsidRDefault="000A5091" w:rsidP="002A2E84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على جميع الجهات المنصوص عليها في المادة ( </w:t>
      </w:r>
      <w:hyperlink r:id="rId19">
        <w:r w:rsidRPr="002A2E84">
          <w:rPr>
            <w:color w:val="2C2C2C"/>
            <w:sz w:val="32"/>
            <w:szCs w:val="32"/>
            <w:shd w:val="clear" w:color="auto" w:fill="FFFFFF"/>
          </w:rPr>
          <w:t>5</w:t>
        </w:r>
      </w:hyperlink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) من هذا القانون٬ إمساك سجلات تقيد فيها أسماء ذوي الاحتياجات الخاصة العاملين بها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من حملة شهادات التأهيل أو بطاقات التعريف٬ وإخطار المجلس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بكتاب مسجل بعلم الوصول يتضمن أعدادهم والوظائف أو الأعمال التي يقومون بها والأجر الذي يتقاضاه كل منهم .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وتحدد بقرار من رئيس المجلس نماذج السجلات والإخطارات ومواعيد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تقديمها.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وتلتزم الجهات المشار إليها بتمكين مندوبي المجلس من الاطلاع على السجلات كلما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="00354A99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طُلب منها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ذلك.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1660EB" w:rsidRPr="002A2E84" w:rsidRDefault="000A5091" w:rsidP="00E714DA">
      <w:pPr>
        <w:pStyle w:val="Heading2"/>
        <w:jc w:val="left"/>
        <w:rPr>
          <w:b/>
          <w:bCs/>
          <w:sz w:val="36"/>
          <w:szCs w:val="36"/>
        </w:rPr>
      </w:pPr>
      <w:r w:rsidRPr="002A2E84">
        <w:rPr>
          <w:b/>
          <w:bCs/>
          <w:sz w:val="36"/>
          <w:szCs w:val="36"/>
        </w:rPr>
        <w:t xml:space="preserve"> </w:t>
      </w:r>
      <w:r w:rsidRPr="002A2E84">
        <w:rPr>
          <w:b/>
          <w:bCs/>
          <w:sz w:val="36"/>
          <w:szCs w:val="36"/>
          <w:rtl/>
        </w:rPr>
        <w:t xml:space="preserve">المادة </w:t>
      </w:r>
      <w:r w:rsidRPr="002A2E84">
        <w:rPr>
          <w:b/>
          <w:bCs/>
          <w:sz w:val="36"/>
          <w:szCs w:val="36"/>
        </w:rPr>
        <w:t>9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يستحق العاجزون عن العمل من ذوي الاحتياجات الخاصة معاشاً شهرياً وفقاً للفئات التي يحددها مجلس الوزراء </w:t>
      </w:r>
      <w:r w:rsidR="00354A99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أو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على اقتراح المجلس.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 xml:space="preserve">المادة 10 </w:t>
      </w:r>
    </w:p>
    <w:p w:rsidR="001660EB" w:rsidRPr="002A2E84" w:rsidRDefault="000A5091" w:rsidP="002A2E84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تؤمن الجهات المختصة لذوي الاحتياجات الخاصة مساكن بمواصفات خاصة وفقاً للأولوية والضوابط التي يضعها المجلس.</w:t>
      </w: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 xml:space="preserve">المادة 11 </w:t>
      </w:r>
    </w:p>
    <w:p w:rsidR="001660EB" w:rsidRDefault="000A5091" w:rsidP="00F347DD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مع عدم الإخلال بحق ذوي الاحتياجات الخاصة في </w:t>
      </w:r>
      <w:r w:rsidR="00F347DD">
        <w:rPr>
          <w:color w:val="2C2C2C"/>
          <w:sz w:val="32"/>
          <w:szCs w:val="32"/>
          <w:shd w:val="clear" w:color="auto" w:fill="FFFFFF"/>
          <w:rtl/>
        </w:rPr>
        <w:t>الحصول على التعويض المناس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ب،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ُيُعُاقب من يُخالف أحكام المادة ( </w:t>
      </w:r>
      <w:hyperlink r:id="rId20">
        <w:r w:rsidRPr="002A2E84">
          <w:rPr>
            <w:color w:val="2C2C2C"/>
            <w:sz w:val="32"/>
            <w:szCs w:val="32"/>
            <w:shd w:val="clear" w:color="auto" w:fill="FFFFFF"/>
          </w:rPr>
          <w:t>5</w:t>
        </w:r>
      </w:hyperlink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) من هذا القانون بالغرامة التي لا تزيد على (</w:t>
      </w:r>
      <w:r w:rsidRPr="002A2E84">
        <w:rPr>
          <w:color w:val="2C2C2C"/>
          <w:sz w:val="32"/>
          <w:szCs w:val="32"/>
          <w:shd w:val="clear" w:color="auto" w:fill="FFFFFF"/>
        </w:rPr>
        <w:t>20</w:t>
      </w:r>
      <w:r w:rsidRPr="002A2E84">
        <w:rPr>
          <w:color w:val="2C2C2C"/>
          <w:sz w:val="32"/>
          <w:szCs w:val="32"/>
          <w:shd w:val="clear" w:color="auto" w:fill="FFFFFF"/>
          <w:rtl/>
        </w:rPr>
        <w:t>,</w:t>
      </w:r>
      <w:r w:rsidRPr="002A2E84">
        <w:rPr>
          <w:color w:val="2C2C2C"/>
          <w:sz w:val="32"/>
          <w:szCs w:val="32"/>
          <w:shd w:val="clear" w:color="auto" w:fill="FFFFFF"/>
        </w:rPr>
        <w:t>000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) ﷼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وتتعدد العقوبة بتعدد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حالات المخالفة.</w:t>
      </w:r>
    </w:p>
    <w:p w:rsidR="00F347DD" w:rsidRPr="002A2E84" w:rsidRDefault="00F347DD" w:rsidP="00F347DD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>المادة 12</w:t>
      </w:r>
    </w:p>
    <w:p w:rsidR="001660EB" w:rsidRDefault="00E714DA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ت</w:t>
      </w:r>
      <w:r w:rsidR="000A5091" w:rsidRPr="002A2E84">
        <w:rPr>
          <w:color w:val="2C2C2C"/>
          <w:sz w:val="32"/>
          <w:szCs w:val="32"/>
          <w:shd w:val="clear" w:color="auto" w:fill="FFFFFF"/>
          <w:rtl/>
        </w:rPr>
        <w:t>عُفى مراكز رعاية ذوي الاحتياجات الخاصة ومؤسساتها التابعة لها من رسوم تسجيل هذه الأماكن.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 xml:space="preserve">المادة 13 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يُصدر مجلس الوزراء القرارات اللازمة لتنفيذ أحكام هذا القانون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بما في ذلك تحديد أولوية تطبيق الحقوق التي تضمنها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وفئات المستفيدين من كل منها.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>المادة 14</w:t>
      </w:r>
    </w:p>
    <w:p w:rsidR="001660EB" w:rsidRPr="00BF6890" w:rsidRDefault="000A5091" w:rsidP="00383EFB">
      <w:pPr>
        <w:ind w:left="8"/>
        <w:rPr>
          <w:rFonts w:asciiTheme="minorBidi" w:hAnsiTheme="minorBidi" w:cstheme="minorBidi"/>
          <w:sz w:val="24"/>
          <w:szCs w:val="24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على جميع الجهات المختصة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كل فيما يخصه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تنفيذ هذا القانون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ويُنشر في الجريدة الرسمية.</w:t>
      </w:r>
    </w:p>
    <w:sectPr w:rsidR="001660EB" w:rsidRPr="00BF6890" w:rsidSect="00383EFB">
      <w:footnotePr>
        <w:numRestart w:val="eachPage"/>
      </w:footnotePr>
      <w:pgSz w:w="11900" w:h="16840"/>
      <w:pgMar w:top="1440" w:right="1440" w:bottom="1440" w:left="1440" w:header="720" w:footer="720" w:gutter="0"/>
      <w:cols w:space="720"/>
      <w:bidi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27" w:rsidRDefault="00623127">
      <w:pPr>
        <w:spacing w:line="240" w:lineRule="auto"/>
      </w:pPr>
      <w:r>
        <w:separator/>
      </w:r>
    </w:p>
  </w:endnote>
  <w:endnote w:type="continuationSeparator" w:id="0">
    <w:p w:rsidR="00623127" w:rsidRDefault="00623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27" w:rsidRDefault="00623127">
      <w:pPr>
        <w:spacing w:line="259" w:lineRule="auto"/>
        <w:ind w:left="0" w:firstLine="0"/>
      </w:pPr>
      <w:r>
        <w:separator/>
      </w:r>
    </w:p>
  </w:footnote>
  <w:footnote w:type="continuationSeparator" w:id="0">
    <w:p w:rsidR="00623127" w:rsidRDefault="00623127">
      <w:pPr>
        <w:spacing w:line="25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47477"/>
    <w:multiLevelType w:val="hybridMultilevel"/>
    <w:tmpl w:val="7C0EC9C0"/>
    <w:lvl w:ilvl="0" w:tplc="63B6C7D8">
      <w:start w:val="1"/>
      <w:numFmt w:val="decimal"/>
      <w:lvlText w:val="%1"/>
      <w:lvlJc w:val="left"/>
      <w:pPr>
        <w:ind w:left="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980EA98">
      <w:start w:val="1"/>
      <w:numFmt w:val="lowerLetter"/>
      <w:lvlText w:val="%2"/>
      <w:lvlJc w:val="left"/>
      <w:pPr>
        <w:ind w:left="12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144FF4E">
      <w:start w:val="1"/>
      <w:numFmt w:val="lowerRoman"/>
      <w:lvlText w:val="%3"/>
      <w:lvlJc w:val="left"/>
      <w:pPr>
        <w:ind w:left="12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6A5542">
      <w:start w:val="1"/>
      <w:numFmt w:val="decimal"/>
      <w:lvlText w:val="%4"/>
      <w:lvlJc w:val="left"/>
      <w:pPr>
        <w:ind w:left="13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62A3BE2">
      <w:start w:val="1"/>
      <w:numFmt w:val="lowerLetter"/>
      <w:lvlText w:val="%5"/>
      <w:lvlJc w:val="left"/>
      <w:pPr>
        <w:ind w:left="14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7ACEE08">
      <w:start w:val="1"/>
      <w:numFmt w:val="lowerRoman"/>
      <w:lvlText w:val="%6"/>
      <w:lvlJc w:val="left"/>
      <w:pPr>
        <w:ind w:left="14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6C2016">
      <w:start w:val="1"/>
      <w:numFmt w:val="decimal"/>
      <w:lvlText w:val="%7"/>
      <w:lvlJc w:val="left"/>
      <w:pPr>
        <w:ind w:left="15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8944F48">
      <w:start w:val="1"/>
      <w:numFmt w:val="lowerLetter"/>
      <w:lvlText w:val="%8"/>
      <w:lvlJc w:val="left"/>
      <w:pPr>
        <w:ind w:left="16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DAEF24">
      <w:start w:val="1"/>
      <w:numFmt w:val="lowerRoman"/>
      <w:lvlText w:val="%9"/>
      <w:lvlJc w:val="left"/>
      <w:pPr>
        <w:ind w:left="17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142DEA"/>
    <w:multiLevelType w:val="hybridMultilevel"/>
    <w:tmpl w:val="7142574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59DA4C45"/>
    <w:multiLevelType w:val="hybridMultilevel"/>
    <w:tmpl w:val="A1B4E864"/>
    <w:lvl w:ilvl="0" w:tplc="E5B632F6">
      <w:start w:val="1"/>
      <w:numFmt w:val="decimal"/>
      <w:lvlText w:val="%1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C341CB4">
      <w:start w:val="1"/>
      <w:numFmt w:val="lowerLetter"/>
      <w:lvlText w:val="%2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0C4F26">
      <w:start w:val="1"/>
      <w:numFmt w:val="lowerRoman"/>
      <w:lvlText w:val="%3"/>
      <w:lvlJc w:val="left"/>
      <w:pPr>
        <w:ind w:left="1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8483398">
      <w:start w:val="1"/>
      <w:numFmt w:val="decimal"/>
      <w:lvlText w:val="%4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FB8C75E">
      <w:start w:val="1"/>
      <w:numFmt w:val="lowerLetter"/>
      <w:lvlText w:val="%5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408B4BA">
      <w:start w:val="1"/>
      <w:numFmt w:val="lowerRoman"/>
      <w:lvlText w:val="%6"/>
      <w:lvlJc w:val="left"/>
      <w:pPr>
        <w:ind w:left="3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D68B60">
      <w:start w:val="1"/>
      <w:numFmt w:val="decimal"/>
      <w:lvlText w:val="%7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73865FE">
      <w:start w:val="1"/>
      <w:numFmt w:val="lowerLetter"/>
      <w:lvlText w:val="%8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7A2F78E">
      <w:start w:val="1"/>
      <w:numFmt w:val="lowerRoman"/>
      <w:lvlText w:val="%9"/>
      <w:lvlJc w:val="left"/>
      <w:pPr>
        <w:ind w:left="6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1B4377"/>
    <w:multiLevelType w:val="hybridMultilevel"/>
    <w:tmpl w:val="E2AA424C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602114D1"/>
    <w:multiLevelType w:val="hybridMultilevel"/>
    <w:tmpl w:val="A5368E76"/>
    <w:lvl w:ilvl="0" w:tplc="CF601726">
      <w:start w:val="10"/>
      <w:numFmt w:val="decimal"/>
      <w:lvlText w:val="%1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16F17C">
      <w:start w:val="1"/>
      <w:numFmt w:val="lowerLetter"/>
      <w:lvlText w:val="%2"/>
      <w:lvlJc w:val="left"/>
      <w:pPr>
        <w:ind w:left="1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DC8A64">
      <w:start w:val="1"/>
      <w:numFmt w:val="lowerRoman"/>
      <w:lvlText w:val="%3"/>
      <w:lvlJc w:val="left"/>
      <w:pPr>
        <w:ind w:left="1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C8703E">
      <w:start w:val="1"/>
      <w:numFmt w:val="decimal"/>
      <w:lvlText w:val="%4"/>
      <w:lvlJc w:val="left"/>
      <w:pPr>
        <w:ind w:left="13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9E07CA">
      <w:start w:val="1"/>
      <w:numFmt w:val="lowerLetter"/>
      <w:lvlText w:val="%5"/>
      <w:lvlJc w:val="left"/>
      <w:pPr>
        <w:ind w:left="1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E3A1EAA">
      <w:start w:val="1"/>
      <w:numFmt w:val="lowerRoman"/>
      <w:lvlText w:val="%6"/>
      <w:lvlJc w:val="left"/>
      <w:pPr>
        <w:ind w:left="1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BE6EC4">
      <w:start w:val="1"/>
      <w:numFmt w:val="decimal"/>
      <w:lvlText w:val="%7"/>
      <w:lvlJc w:val="left"/>
      <w:pPr>
        <w:ind w:left="15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77A5568">
      <w:start w:val="1"/>
      <w:numFmt w:val="lowerLetter"/>
      <w:lvlText w:val="%8"/>
      <w:lvlJc w:val="left"/>
      <w:pPr>
        <w:ind w:left="16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A651BA">
      <w:start w:val="1"/>
      <w:numFmt w:val="lowerRoman"/>
      <w:lvlText w:val="%9"/>
      <w:lvlJc w:val="left"/>
      <w:pPr>
        <w:ind w:left="17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1C2711"/>
    <w:multiLevelType w:val="hybridMultilevel"/>
    <w:tmpl w:val="B6046356"/>
    <w:lvl w:ilvl="0" w:tplc="3C04BA3C">
      <w:start w:val="1"/>
      <w:numFmt w:val="decimal"/>
      <w:lvlText w:val="%1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D9047E0">
      <w:start w:val="1"/>
      <w:numFmt w:val="lowerLetter"/>
      <w:lvlText w:val="%2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C5C6598">
      <w:start w:val="1"/>
      <w:numFmt w:val="lowerRoman"/>
      <w:lvlText w:val="%3"/>
      <w:lvlJc w:val="left"/>
      <w:pPr>
        <w:ind w:left="1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EA80A7C">
      <w:start w:val="1"/>
      <w:numFmt w:val="decimal"/>
      <w:lvlText w:val="%4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AE445C">
      <w:start w:val="1"/>
      <w:numFmt w:val="lowerLetter"/>
      <w:lvlText w:val="%5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C2652F4">
      <w:start w:val="1"/>
      <w:numFmt w:val="lowerRoman"/>
      <w:lvlText w:val="%6"/>
      <w:lvlJc w:val="left"/>
      <w:pPr>
        <w:ind w:left="3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0AC1558">
      <w:start w:val="1"/>
      <w:numFmt w:val="decimal"/>
      <w:lvlText w:val="%7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E0EF7EE">
      <w:start w:val="1"/>
      <w:numFmt w:val="lowerLetter"/>
      <w:lvlText w:val="%8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A4885E2">
      <w:start w:val="1"/>
      <w:numFmt w:val="lowerRoman"/>
      <w:lvlText w:val="%9"/>
      <w:lvlJc w:val="left"/>
      <w:pPr>
        <w:ind w:left="6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1E5918"/>
    <w:multiLevelType w:val="hybridMultilevel"/>
    <w:tmpl w:val="4CDC0CD0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EB"/>
    <w:rsid w:val="000834A9"/>
    <w:rsid w:val="000A5091"/>
    <w:rsid w:val="001660EB"/>
    <w:rsid w:val="002A2E84"/>
    <w:rsid w:val="00354A99"/>
    <w:rsid w:val="00383EFB"/>
    <w:rsid w:val="00434305"/>
    <w:rsid w:val="00455A0E"/>
    <w:rsid w:val="00623127"/>
    <w:rsid w:val="00BF6890"/>
    <w:rsid w:val="00D34E65"/>
    <w:rsid w:val="00DB1A0C"/>
    <w:rsid w:val="00DC754F"/>
    <w:rsid w:val="00DF039D"/>
    <w:rsid w:val="00E714DA"/>
    <w:rsid w:val="00F347DD"/>
    <w:rsid w:val="00F5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E94E"/>
  <w15:docId w15:val="{C035C540-E420-4D66-8DA6-60896FFA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 w:line="265" w:lineRule="auto"/>
      <w:ind w:left="80" w:hanging="10"/>
    </w:pPr>
    <w:rPr>
      <w:rFonts w:ascii="Arial" w:eastAsia="Arial" w:hAnsi="Arial" w:cs="Arial"/>
      <w:color w:val="000000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191"/>
      <w:outlineLvl w:val="0"/>
    </w:pPr>
    <w:rPr>
      <w:rFonts w:ascii="Arial" w:eastAsia="Arial" w:hAnsi="Arial" w:cs="Arial"/>
      <w:b/>
      <w:color w:val="313131"/>
      <w:sz w:val="21"/>
      <w:u w:val="single" w:color="31313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324"/>
      <w:ind w:left="10" w:hanging="10"/>
      <w:jc w:val="right"/>
      <w:outlineLvl w:val="1"/>
    </w:pPr>
    <w:rPr>
      <w:rFonts w:ascii="Arial" w:eastAsia="Arial" w:hAnsi="Arial" w:cs="Arial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1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13131"/>
      <w:sz w:val="21"/>
      <w:u w:val="single" w:color="313131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jc w:val="right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1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4DA"/>
    <w:pPr>
      <w:numPr>
        <w:ilvl w:val="1"/>
      </w:numPr>
      <w:spacing w:after="160"/>
      <w:ind w:left="8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14DA"/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D34E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eezan.qa/LawPage.aspx?id=2285&amp;language=ar" TargetMode="External"/><Relationship Id="rId13" Type="http://schemas.openxmlformats.org/officeDocument/2006/relationships/hyperlink" Target="http://www.almeezan.qa/LawPage.aspx?id=391&amp;language=ar" TargetMode="External"/><Relationship Id="rId18" Type="http://schemas.openxmlformats.org/officeDocument/2006/relationships/hyperlink" Target="http://www.almeezan.qa/DownloadPage.aspx?Target=All&amp;type=2&amp;lawID=246&amp;language=ar" TargetMode="Externa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lmeezan.qa/LawPage.aspx?id=246&amp;language=ar" TargetMode="External"/><Relationship Id="rId12" Type="http://schemas.openxmlformats.org/officeDocument/2006/relationships/hyperlink" Target="http://www.almeezan.qa/LawPage.aspx?id=277&amp;language=ar" TargetMode="External"/><Relationship Id="rId17" Type="http://schemas.openxmlformats.org/officeDocument/2006/relationships/hyperlink" Target="http://www.almeezan.qa/LawPage.aspx?id=699&amp;language=ar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almeezan.qa/LawPage.aspx?id=207&amp;language=ar" TargetMode="External"/><Relationship Id="rId20" Type="http://schemas.openxmlformats.org/officeDocument/2006/relationships/hyperlink" Target="http://www.almeezan.qa/LawArticles.aspx?LawArticleID=8988&amp;LawID=246&amp;language=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meezan.qa/LawPage.aspx?id=158&amp;language=ar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almeezan.qa/LawPage.aspx?id=163&amp;language=ar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://www.almeezan.qa/LawPage.aspx?id=299&amp;language=ar" TargetMode="External"/><Relationship Id="rId19" Type="http://schemas.openxmlformats.org/officeDocument/2006/relationships/hyperlink" Target="http://www.almeezan.qa/LawArticles.aspx?LawArticleID=8988&amp;LawID=246&amp;language=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meezan.qa/LawArticles.aspx?LawArticleID=25928&amp;LawID=2285&amp;language=ar" TargetMode="External"/><Relationship Id="rId14" Type="http://schemas.openxmlformats.org/officeDocument/2006/relationships/hyperlink" Target="http://www.almeezan.qa/LawPage.aspx?id=497&amp;language=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QPT3VHF6MKWP-83287781-37352</_dlc_DocId>
    <_dlc_DocIdUrl xmlns="4595ca7b-3a15-4971-af5f-cadc29c03e04">
      <Url>https://www.qu.edu.qa/_layouts/15/DocIdRedir.aspx?ID=QPT3VHF6MKWP-83287781-37352</Url>
      <Description>QPT3VHF6MKWP-83287781-37352</Description>
    </_dlc_DocIdUrl>
  </documentManagement>
</p:properties>
</file>

<file path=customXml/itemProps1.xml><?xml version="1.0" encoding="utf-8"?>
<ds:datastoreItem xmlns:ds="http://schemas.openxmlformats.org/officeDocument/2006/customXml" ds:itemID="{02232C0E-8BC7-4289-9320-09E614DF32DB}"/>
</file>

<file path=customXml/itemProps2.xml><?xml version="1.0" encoding="utf-8"?>
<ds:datastoreItem xmlns:ds="http://schemas.openxmlformats.org/officeDocument/2006/customXml" ds:itemID="{3D0BB731-714D-46AB-B292-EAFE3F595703}"/>
</file>

<file path=customXml/itemProps3.xml><?xml version="1.0" encoding="utf-8"?>
<ds:datastoreItem xmlns:ds="http://schemas.openxmlformats.org/officeDocument/2006/customXml" ds:itemID="{3C27276A-B9B6-45DB-A0A0-F29038FB5312}"/>
</file>

<file path=customXml/itemProps4.xml><?xml version="1.0" encoding="utf-8"?>
<ds:datastoreItem xmlns:ds="http://schemas.openxmlformats.org/officeDocument/2006/customXml" ds:itemID="{4F2EDAB8-D8C1-4089-8822-98BA816E2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قانون رقم (2) لسنة 2004 بشأن ذوي الاحتياجات الخاصة</vt:lpstr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قانون رقم (2) لسنة 2004 بشأن ذوي الاحتياجات الخاصة</dc:title>
  <dc:subject/>
  <dc:creator>Boutheina Djebbi</dc:creator>
  <cp:keywords/>
  <cp:lastModifiedBy>Rehab Mahmoud Mohamed Solaiman Dorgham</cp:lastModifiedBy>
  <cp:revision>4</cp:revision>
  <dcterms:created xsi:type="dcterms:W3CDTF">2019-07-30T22:29:00Z</dcterms:created>
  <dcterms:modified xsi:type="dcterms:W3CDTF">2019-07-30T22:38:00Z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9edf03a5-b9bd-470d-aec8-9e9b07e6af48</vt:lpwstr>
  </property>
</Properties>
</file>