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84" w:rsidRPr="00430266" w:rsidRDefault="005174E7" w:rsidP="00217CF6">
      <w:pPr>
        <w:pStyle w:val="Heading1"/>
        <w:jc w:val="center"/>
        <w:rPr>
          <w:rFonts w:asciiTheme="majorBidi" w:hAnsiTheme="majorBidi"/>
        </w:rPr>
      </w:pPr>
      <w:r w:rsidRPr="00430266">
        <w:rPr>
          <w:rFonts w:asciiTheme="majorBidi" w:hAnsiTheme="majorBidi"/>
        </w:rPr>
        <w:t>Comprehensive exam results analysis</w:t>
      </w:r>
    </w:p>
    <w:p w:rsidR="005174E7" w:rsidRPr="00430266" w:rsidRDefault="005174E7">
      <w:pPr>
        <w:rPr>
          <w:rFonts w:asciiTheme="majorBidi" w:eastAsia="Times New Roman" w:hAnsiTheme="majorBidi" w:cstheme="majorBidi"/>
          <w:b/>
          <w:bCs/>
          <w:color w:val="000000"/>
          <w:sz w:val="24"/>
          <w:szCs w:val="24"/>
        </w:rPr>
      </w:pPr>
    </w:p>
    <w:p w:rsidR="005174E7" w:rsidRPr="00430266" w:rsidRDefault="005174E7" w:rsidP="00217CF6">
      <w:pPr>
        <w:pStyle w:val="ListParagraph"/>
        <w:numPr>
          <w:ilvl w:val="0"/>
          <w:numId w:val="1"/>
        </w:numP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Advanced Programs</w:t>
      </w:r>
      <w:r w:rsidR="00B56DF9" w:rsidRPr="00430266">
        <w:rPr>
          <w:rFonts w:asciiTheme="majorBidi" w:eastAsia="Times New Roman" w:hAnsiTheme="majorBidi" w:cstheme="majorBidi"/>
          <w:b/>
          <w:bCs/>
          <w:color w:val="000000"/>
        </w:rPr>
        <w:t>: Master in Special Education (MSPED) and Master in Education in Educational Leadership (MEDEL)</w:t>
      </w:r>
    </w:p>
    <w:p w:rsidR="00217CF6" w:rsidRPr="00430266" w:rsidRDefault="00217CF6">
      <w:pPr>
        <w:rPr>
          <w:rFonts w:asciiTheme="majorBidi" w:eastAsia="Times New Roman" w:hAnsiTheme="majorBidi" w:cstheme="majorBidi"/>
          <w:b/>
          <w:bCs/>
          <w:color w:val="000000"/>
          <w:sz w:val="24"/>
          <w:szCs w:val="24"/>
        </w:rPr>
      </w:pPr>
    </w:p>
    <w:p w:rsidR="00950FB0" w:rsidRPr="00430266" w:rsidRDefault="00950FB0">
      <w:pPr>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Table 1. Comprehensive exam scores for MEDEL 2014-2017</w:t>
      </w:r>
    </w:p>
    <w:tbl>
      <w:tblPr>
        <w:tblW w:w="9160" w:type="dxa"/>
        <w:tblInd w:w="-5" w:type="dxa"/>
        <w:tblLook w:val="04A0" w:firstRow="1" w:lastRow="0" w:firstColumn="1" w:lastColumn="0" w:noHBand="0" w:noVBand="1"/>
      </w:tblPr>
      <w:tblGrid>
        <w:gridCol w:w="1620"/>
        <w:gridCol w:w="1360"/>
        <w:gridCol w:w="1700"/>
        <w:gridCol w:w="1440"/>
        <w:gridCol w:w="1620"/>
        <w:gridCol w:w="1420"/>
      </w:tblGrid>
      <w:tr w:rsidR="00950FB0" w:rsidRPr="00430266" w:rsidTr="004015D2">
        <w:trPr>
          <w:trHeight w:val="300"/>
        </w:trPr>
        <w:tc>
          <w:tcPr>
            <w:tcW w:w="29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2014-15</w:t>
            </w:r>
          </w:p>
        </w:tc>
        <w:tc>
          <w:tcPr>
            <w:tcW w:w="314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2015-16</w:t>
            </w:r>
          </w:p>
        </w:tc>
        <w:tc>
          <w:tcPr>
            <w:tcW w:w="304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2016-17</w:t>
            </w:r>
          </w:p>
        </w:tc>
      </w:tr>
      <w:tr w:rsidR="004015D2" w:rsidRPr="00430266" w:rsidTr="004015D2">
        <w:trPr>
          <w:trHeight w:val="300"/>
        </w:trPr>
        <w:tc>
          <w:tcPr>
            <w:tcW w:w="1620" w:type="dxa"/>
            <w:tcBorders>
              <w:top w:val="nil"/>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360" w:type="dxa"/>
            <w:tcBorders>
              <w:top w:val="nil"/>
              <w:left w:val="nil"/>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 100</w:t>
            </w:r>
          </w:p>
        </w:tc>
        <w:tc>
          <w:tcPr>
            <w:tcW w:w="1700" w:type="dxa"/>
            <w:tcBorders>
              <w:top w:val="nil"/>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440" w:type="dxa"/>
            <w:tcBorders>
              <w:top w:val="nil"/>
              <w:left w:val="nil"/>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 100</w:t>
            </w:r>
          </w:p>
        </w:tc>
        <w:tc>
          <w:tcPr>
            <w:tcW w:w="1620" w:type="dxa"/>
            <w:tcBorders>
              <w:top w:val="nil"/>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420" w:type="dxa"/>
            <w:tcBorders>
              <w:top w:val="nil"/>
              <w:left w:val="nil"/>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 100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89</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88</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70</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84</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81</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86</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77</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86</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74.7</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11</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84.6</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12</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13</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14</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15</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77</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16</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76</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17</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74</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18</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72</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19</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70</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80.5</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bl>
    <w:p w:rsidR="00950FB0" w:rsidRPr="00430266" w:rsidRDefault="00950FB0">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950FB0" w:rsidRPr="00430266" w:rsidRDefault="00950FB0">
      <w:pPr>
        <w:rPr>
          <w:rFonts w:asciiTheme="majorBidi" w:hAnsiTheme="majorBidi" w:cstheme="majorBidi"/>
          <w:b/>
          <w:bCs/>
          <w:sz w:val="24"/>
          <w:szCs w:val="24"/>
        </w:rPr>
      </w:pPr>
      <w:r w:rsidRPr="00430266">
        <w:rPr>
          <w:rFonts w:asciiTheme="majorBidi" w:hAnsiTheme="majorBidi" w:cstheme="majorBidi"/>
          <w:b/>
          <w:bCs/>
          <w:sz w:val="24"/>
          <w:szCs w:val="24"/>
        </w:rPr>
        <w:lastRenderedPageBreak/>
        <w:t xml:space="preserve">Table 2. </w:t>
      </w:r>
      <w:r w:rsidR="004015D2" w:rsidRPr="00430266">
        <w:rPr>
          <w:rFonts w:asciiTheme="majorBidi" w:eastAsia="Times New Roman" w:hAnsiTheme="majorBidi" w:cstheme="majorBidi"/>
          <w:b/>
          <w:bCs/>
          <w:color w:val="000000"/>
          <w:sz w:val="24"/>
          <w:szCs w:val="24"/>
        </w:rPr>
        <w:t>Comprehensive exam scores for MSPED 2014-2017</w:t>
      </w:r>
    </w:p>
    <w:tbl>
      <w:tblPr>
        <w:tblW w:w="9450" w:type="dxa"/>
        <w:tblInd w:w="-5" w:type="dxa"/>
        <w:tblLook w:val="04A0" w:firstRow="1" w:lastRow="0" w:firstColumn="1" w:lastColumn="0" w:noHBand="0" w:noVBand="1"/>
      </w:tblPr>
      <w:tblGrid>
        <w:gridCol w:w="1260"/>
        <w:gridCol w:w="1256"/>
        <w:gridCol w:w="810"/>
        <w:gridCol w:w="1170"/>
        <w:gridCol w:w="1080"/>
        <w:gridCol w:w="810"/>
        <w:gridCol w:w="1170"/>
        <w:gridCol w:w="1170"/>
        <w:gridCol w:w="724"/>
      </w:tblGrid>
      <w:tr w:rsidR="004015D2" w:rsidRPr="00430266" w:rsidTr="004015D2">
        <w:trPr>
          <w:trHeight w:val="300"/>
        </w:trPr>
        <w:tc>
          <w:tcPr>
            <w:tcW w:w="243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2014-15</w:t>
            </w:r>
          </w:p>
        </w:tc>
        <w:tc>
          <w:tcPr>
            <w:tcW w:w="810" w:type="dxa"/>
            <w:tcBorders>
              <w:top w:val="single" w:sz="4" w:space="0" w:color="auto"/>
              <w:left w:val="nil"/>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2015-16</w:t>
            </w:r>
          </w:p>
        </w:tc>
        <w:tc>
          <w:tcPr>
            <w:tcW w:w="810" w:type="dxa"/>
            <w:tcBorders>
              <w:top w:val="single" w:sz="4" w:space="0" w:color="auto"/>
              <w:left w:val="nil"/>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2016-17</w:t>
            </w:r>
          </w:p>
        </w:tc>
        <w:tc>
          <w:tcPr>
            <w:tcW w:w="1170" w:type="dxa"/>
            <w:tcBorders>
              <w:top w:val="single" w:sz="4" w:space="0" w:color="auto"/>
              <w:left w:val="nil"/>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810" w:type="dxa"/>
            <w:tcBorders>
              <w:top w:val="single" w:sz="4" w:space="0" w:color="auto"/>
              <w:left w:val="nil"/>
              <w:bottom w:val="single" w:sz="4" w:space="0" w:color="auto"/>
              <w:right w:val="single" w:sz="4" w:space="0" w:color="auto"/>
            </w:tcBorders>
            <w:shd w:val="clear" w:color="000000" w:fill="DDEBF7"/>
          </w:tcPr>
          <w:p w:rsidR="004015D2" w:rsidRPr="00430266" w:rsidRDefault="004015D2" w:rsidP="00950FB0">
            <w:pPr>
              <w:spacing w:after="0" w:line="240" w:lineRule="auto"/>
              <w:rPr>
                <w:rFonts w:asciiTheme="majorBidi" w:eastAsia="Times New Roman" w:hAnsiTheme="majorBidi" w:cstheme="majorBidi"/>
                <w:color w:val="000000"/>
              </w:rPr>
            </w:pP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17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SCORE/48</w:t>
            </w:r>
          </w:p>
        </w:tc>
        <w:tc>
          <w:tcPr>
            <w:tcW w:w="81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Total</w:t>
            </w:r>
          </w:p>
        </w:tc>
        <w:tc>
          <w:tcPr>
            <w:tcW w:w="1170" w:type="dxa"/>
            <w:tcBorders>
              <w:top w:val="nil"/>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08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Score/56</w:t>
            </w:r>
          </w:p>
        </w:tc>
        <w:tc>
          <w:tcPr>
            <w:tcW w:w="81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Total</w:t>
            </w:r>
          </w:p>
        </w:tc>
        <w:tc>
          <w:tcPr>
            <w:tcW w:w="1170" w:type="dxa"/>
            <w:tcBorders>
              <w:top w:val="nil"/>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17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/60</w:t>
            </w:r>
          </w:p>
        </w:tc>
        <w:tc>
          <w:tcPr>
            <w:tcW w:w="810" w:type="dxa"/>
            <w:tcBorders>
              <w:top w:val="single" w:sz="4" w:space="0" w:color="auto"/>
              <w:left w:val="nil"/>
              <w:bottom w:val="single" w:sz="4" w:space="0" w:color="auto"/>
              <w:right w:val="single" w:sz="4" w:space="0" w:color="auto"/>
            </w:tcBorders>
            <w:shd w:val="clear" w:color="000000" w:fill="DDEBF7"/>
            <w:vAlign w:val="bottom"/>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Total</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34</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41</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56</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93</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38</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55</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54</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92</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98</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55</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92</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35</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48</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90</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82</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52</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96</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50</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4015D2" w:rsidRPr="00430266" w:rsidTr="004015D2">
        <w:trPr>
          <w:trHeight w:val="300"/>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52</w:t>
            </w:r>
          </w:p>
        </w:tc>
        <w:tc>
          <w:tcPr>
            <w:tcW w:w="810" w:type="dxa"/>
            <w:tcBorders>
              <w:top w:val="single" w:sz="4" w:space="0" w:color="auto"/>
              <w:left w:val="nil"/>
              <w:bottom w:val="single" w:sz="4" w:space="0" w:color="auto"/>
              <w:right w:val="single" w:sz="4" w:space="0" w:color="auto"/>
            </w:tcBorders>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center"/>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center"/>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51</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44</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42</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46</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77</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55</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r>
      <w:tr w:rsidR="004015D2" w:rsidRPr="00430266" w:rsidTr="009A730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42</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85</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12</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tcPr>
          <w:p w:rsidR="004015D2" w:rsidRPr="00430266" w:rsidRDefault="004015D2" w:rsidP="00950FB0">
            <w:pPr>
              <w:spacing w:after="0" w:line="240" w:lineRule="auto"/>
              <w:rPr>
                <w:rFonts w:asciiTheme="majorBidi" w:eastAsia="Times New Roman" w:hAnsiTheme="majorBidi" w:cstheme="majorBidi"/>
                <w:sz w:val="20"/>
                <w:szCs w:val="20"/>
              </w:rPr>
            </w:pP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82</w:t>
            </w: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tcPr>
          <w:p w:rsidR="004015D2" w:rsidRPr="00430266" w:rsidRDefault="004015D2" w:rsidP="00950FB0">
            <w:pPr>
              <w:spacing w:after="0" w:line="240" w:lineRule="auto"/>
              <w:rPr>
                <w:rFonts w:asciiTheme="majorBidi" w:eastAsia="Times New Roman" w:hAnsiTheme="majorBidi" w:cstheme="majorBidi"/>
                <w:sz w:val="20"/>
                <w:szCs w:val="20"/>
              </w:rPr>
            </w:pPr>
          </w:p>
        </w:tc>
      </w:tr>
    </w:tbl>
    <w:p w:rsidR="00950FB0" w:rsidRPr="00430266" w:rsidRDefault="00950FB0">
      <w:pPr>
        <w:rPr>
          <w:rFonts w:asciiTheme="majorBidi" w:hAnsiTheme="majorBidi" w:cstheme="majorBidi"/>
          <w:b/>
          <w:bCs/>
          <w:sz w:val="24"/>
          <w:szCs w:val="24"/>
        </w:rPr>
      </w:pPr>
    </w:p>
    <w:p w:rsidR="004015D2" w:rsidRPr="00430266" w:rsidRDefault="004015D2">
      <w:pPr>
        <w:rPr>
          <w:rFonts w:asciiTheme="majorBidi" w:hAnsiTheme="majorBidi" w:cstheme="majorBidi"/>
          <w:sz w:val="24"/>
          <w:szCs w:val="24"/>
        </w:rPr>
      </w:pPr>
      <w:r w:rsidRPr="00430266">
        <w:rPr>
          <w:rFonts w:asciiTheme="majorBidi" w:hAnsiTheme="majorBidi" w:cstheme="majorBidi"/>
          <w:sz w:val="24"/>
          <w:szCs w:val="24"/>
        </w:rPr>
        <w:t xml:space="preserve">Figure 1. </w:t>
      </w:r>
    </w:p>
    <w:p w:rsidR="004015D2" w:rsidRPr="00430266" w:rsidRDefault="00217CF6">
      <w:pPr>
        <w:rPr>
          <w:rFonts w:asciiTheme="majorBidi" w:hAnsiTheme="majorBidi" w:cstheme="majorBidi"/>
          <w:sz w:val="24"/>
          <w:szCs w:val="24"/>
        </w:rPr>
      </w:pPr>
      <w:r w:rsidRPr="00430266">
        <w:rPr>
          <w:rFonts w:asciiTheme="majorBidi" w:hAnsiTheme="majorBidi" w:cstheme="majorBidi"/>
          <w:noProof/>
        </w:rPr>
        <w:drawing>
          <wp:inline distT="0" distB="0" distL="0" distR="0" wp14:anchorId="14F3737E" wp14:editId="2568AA8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4269" w:rsidRPr="00430266" w:rsidRDefault="00204269" w:rsidP="00204269">
      <w:pPr>
        <w:rPr>
          <w:rFonts w:asciiTheme="majorBidi" w:hAnsiTheme="majorBidi" w:cstheme="majorBidi"/>
          <w:sz w:val="24"/>
          <w:szCs w:val="24"/>
        </w:rPr>
      </w:pPr>
      <w:r w:rsidRPr="00430266">
        <w:rPr>
          <w:rFonts w:asciiTheme="majorBidi" w:hAnsiTheme="majorBidi" w:cstheme="majorBidi"/>
          <w:sz w:val="24"/>
          <w:szCs w:val="24"/>
        </w:rPr>
        <w:t>Candidates in the MSPED and MEDEL programs must pass a content competency test in the semester prior to student teaching that includes both discipline area content and discipline-specific pedagogy. Previously the passing</w:t>
      </w:r>
      <w:r w:rsidR="003D424C" w:rsidRPr="00430266">
        <w:rPr>
          <w:rFonts w:asciiTheme="majorBidi" w:hAnsiTheme="majorBidi" w:cstheme="majorBidi"/>
          <w:sz w:val="24"/>
          <w:szCs w:val="24"/>
        </w:rPr>
        <w:t xml:space="preserve"> score was set at 70%. From 2017-18</w:t>
      </w:r>
      <w:r w:rsidRPr="00430266">
        <w:rPr>
          <w:rFonts w:asciiTheme="majorBidi" w:hAnsiTheme="majorBidi" w:cstheme="majorBidi"/>
          <w:sz w:val="24"/>
          <w:szCs w:val="24"/>
        </w:rPr>
        <w:t>, the passing score was raised to 80%.</w:t>
      </w:r>
    </w:p>
    <w:p w:rsidR="00C9531B" w:rsidRPr="00430266" w:rsidRDefault="00C9531B" w:rsidP="00C9531B">
      <w:pPr>
        <w:rPr>
          <w:rFonts w:asciiTheme="majorBidi" w:hAnsiTheme="majorBidi" w:cstheme="majorBidi"/>
          <w:sz w:val="24"/>
          <w:szCs w:val="24"/>
        </w:rPr>
      </w:pPr>
      <w:r>
        <w:rPr>
          <w:rFonts w:asciiTheme="majorBidi" w:hAnsiTheme="majorBidi" w:cstheme="majorBidi"/>
          <w:sz w:val="24"/>
          <w:szCs w:val="24"/>
        </w:rPr>
        <w:t>The data in Table 1 indicates that f</w:t>
      </w:r>
      <w:r w:rsidRPr="00430266">
        <w:rPr>
          <w:rFonts w:asciiTheme="majorBidi" w:hAnsiTheme="majorBidi" w:cstheme="majorBidi"/>
          <w:sz w:val="24"/>
          <w:szCs w:val="24"/>
        </w:rPr>
        <w:t xml:space="preserve">or the MEDEL program, the scores from 2014-15 had a mean of 80.5. Out of 19 students, 11 scored above 80, with three of them scoring between 88 and 90. </w:t>
      </w:r>
      <w:r w:rsidRPr="00430266">
        <w:rPr>
          <w:rFonts w:asciiTheme="majorBidi" w:hAnsiTheme="majorBidi" w:cstheme="majorBidi"/>
          <w:sz w:val="24"/>
          <w:szCs w:val="24"/>
        </w:rPr>
        <w:lastRenderedPageBreak/>
        <w:t>In 2014-15, the mean score was 74.7, with scores ranging between 71 and 75. The data from 2016-17 had a mean of 84.6 (n=10), with 60% (6 candidates) scoring between 86-89%.</w:t>
      </w:r>
    </w:p>
    <w:p w:rsidR="005174E7" w:rsidRDefault="00C9531B" w:rsidP="00C9531B">
      <w:pPr>
        <w:rPr>
          <w:rFonts w:asciiTheme="majorBidi" w:hAnsiTheme="majorBidi" w:cstheme="majorBidi"/>
          <w:sz w:val="24"/>
          <w:szCs w:val="24"/>
        </w:rPr>
      </w:pPr>
      <w:r>
        <w:rPr>
          <w:rFonts w:asciiTheme="majorBidi" w:hAnsiTheme="majorBidi" w:cstheme="majorBidi"/>
          <w:sz w:val="24"/>
          <w:szCs w:val="24"/>
        </w:rPr>
        <w:t>As shown in Table 2, t</w:t>
      </w:r>
      <w:r w:rsidR="005174E7" w:rsidRPr="00430266">
        <w:rPr>
          <w:rFonts w:asciiTheme="majorBidi" w:hAnsiTheme="majorBidi" w:cstheme="majorBidi"/>
          <w:sz w:val="24"/>
          <w:szCs w:val="24"/>
        </w:rPr>
        <w:t>he MSPED program scores from 201</w:t>
      </w:r>
      <w:r w:rsidR="00204269" w:rsidRPr="00430266">
        <w:rPr>
          <w:rFonts w:asciiTheme="majorBidi" w:hAnsiTheme="majorBidi" w:cstheme="majorBidi"/>
          <w:sz w:val="24"/>
          <w:szCs w:val="24"/>
        </w:rPr>
        <w:t>4-1</w:t>
      </w:r>
      <w:r w:rsidR="005174E7" w:rsidRPr="00430266">
        <w:rPr>
          <w:rFonts w:asciiTheme="majorBidi" w:hAnsiTheme="majorBidi" w:cstheme="majorBidi"/>
          <w:sz w:val="24"/>
          <w:szCs w:val="24"/>
        </w:rPr>
        <w:t>5 had a mean of 80 (n=6), with 33% (2 candidates) scoring above 80%. The scores from 201</w:t>
      </w:r>
      <w:r w:rsidR="00204269" w:rsidRPr="00430266">
        <w:rPr>
          <w:rFonts w:asciiTheme="majorBidi" w:hAnsiTheme="majorBidi" w:cstheme="majorBidi"/>
          <w:sz w:val="24"/>
          <w:szCs w:val="24"/>
        </w:rPr>
        <w:t>5-1</w:t>
      </w:r>
      <w:r w:rsidR="005174E7" w:rsidRPr="00430266">
        <w:rPr>
          <w:rFonts w:asciiTheme="majorBidi" w:hAnsiTheme="majorBidi" w:cstheme="majorBidi"/>
          <w:sz w:val="24"/>
          <w:szCs w:val="24"/>
        </w:rPr>
        <w:t>6 had a mean of 82% with 41% (5 candidates) scoring above 80%, and 33% (4 candidates) scoring between 91-100%. The mean of the score</w:t>
      </w:r>
      <w:r w:rsidR="00670D79" w:rsidRPr="00430266">
        <w:rPr>
          <w:rFonts w:asciiTheme="majorBidi" w:hAnsiTheme="majorBidi" w:cstheme="majorBidi"/>
          <w:sz w:val="24"/>
          <w:szCs w:val="24"/>
        </w:rPr>
        <w:t xml:space="preserve">s from 2016-17 was </w:t>
      </w:r>
      <w:r w:rsidR="005174E7" w:rsidRPr="00430266">
        <w:rPr>
          <w:rFonts w:asciiTheme="majorBidi" w:hAnsiTheme="majorBidi" w:cstheme="majorBidi"/>
          <w:sz w:val="24"/>
          <w:szCs w:val="24"/>
        </w:rPr>
        <w:t>85%, with 40% (4 candidates) scoring above 90%</w:t>
      </w:r>
      <w:r w:rsidR="00D20805" w:rsidRPr="00430266">
        <w:rPr>
          <w:rFonts w:asciiTheme="majorBidi" w:hAnsiTheme="majorBidi" w:cstheme="majorBidi"/>
          <w:sz w:val="24"/>
          <w:szCs w:val="24"/>
        </w:rPr>
        <w:t>, and all students scoring above 80%</w:t>
      </w:r>
      <w:r w:rsidR="005174E7" w:rsidRPr="00430266">
        <w:rPr>
          <w:rFonts w:asciiTheme="majorBidi" w:hAnsiTheme="majorBidi" w:cstheme="majorBidi"/>
          <w:sz w:val="24"/>
          <w:szCs w:val="24"/>
        </w:rPr>
        <w:t>.</w:t>
      </w:r>
    </w:p>
    <w:p w:rsidR="00C9531B" w:rsidRPr="00430266" w:rsidRDefault="00C9531B" w:rsidP="00C9531B">
      <w:pPr>
        <w:rPr>
          <w:rFonts w:asciiTheme="majorBidi" w:hAnsiTheme="majorBidi" w:cstheme="majorBidi"/>
          <w:sz w:val="24"/>
          <w:szCs w:val="24"/>
        </w:rPr>
      </w:pPr>
      <w:r>
        <w:rPr>
          <w:rFonts w:asciiTheme="majorBidi" w:hAnsiTheme="majorBidi" w:cstheme="majorBidi"/>
          <w:sz w:val="24"/>
          <w:szCs w:val="24"/>
        </w:rPr>
        <w:t>Since many students in the last three years scored below 80%, there is indication that the program coordinators and the faculty teaching in these programs need to understand the reason for these low scores and explore ways to help students achieve better in these exam</w:t>
      </w:r>
      <w:bookmarkStart w:id="0" w:name="_GoBack"/>
      <w:bookmarkEnd w:id="0"/>
      <w:r>
        <w:rPr>
          <w:rFonts w:asciiTheme="majorBidi" w:hAnsiTheme="majorBidi" w:cstheme="majorBidi"/>
          <w:sz w:val="24"/>
          <w:szCs w:val="24"/>
        </w:rPr>
        <w:t>s.</w:t>
      </w:r>
    </w:p>
    <w:p w:rsidR="005174E7" w:rsidRPr="00430266" w:rsidRDefault="005174E7" w:rsidP="00217CF6">
      <w:pPr>
        <w:pStyle w:val="ListParagraph"/>
        <w:numPr>
          <w:ilvl w:val="0"/>
          <w:numId w:val="1"/>
        </w:numPr>
        <w:rPr>
          <w:rFonts w:asciiTheme="majorBidi" w:hAnsiTheme="majorBidi" w:cstheme="majorBidi"/>
          <w:b/>
          <w:bCs/>
        </w:rPr>
      </w:pPr>
      <w:r w:rsidRPr="00430266">
        <w:rPr>
          <w:rFonts w:asciiTheme="majorBidi" w:hAnsiTheme="majorBidi" w:cstheme="majorBidi"/>
          <w:b/>
          <w:bCs/>
        </w:rPr>
        <w:t>Initial Programs</w:t>
      </w:r>
      <w:r w:rsidR="00971378" w:rsidRPr="00430266">
        <w:rPr>
          <w:rFonts w:asciiTheme="majorBidi" w:hAnsiTheme="majorBidi" w:cstheme="majorBidi"/>
          <w:b/>
          <w:bCs/>
        </w:rPr>
        <w:t>: Bachelor of Education in Primary Education (B.Ed. Prim) and Bachelor of Education in Secondary Education (B.Ed. Sec)</w:t>
      </w:r>
      <w:r w:rsidRPr="00430266">
        <w:rPr>
          <w:rFonts w:asciiTheme="majorBidi" w:hAnsiTheme="majorBidi" w:cstheme="majorBidi"/>
          <w:b/>
          <w:bCs/>
        </w:rPr>
        <w:t xml:space="preserve">  </w:t>
      </w:r>
    </w:p>
    <w:p w:rsidR="00217CF6" w:rsidRPr="00430266" w:rsidRDefault="00217CF6" w:rsidP="00217CF6">
      <w:pPr>
        <w:pStyle w:val="ListParagraph"/>
        <w:rPr>
          <w:rFonts w:asciiTheme="majorBidi" w:hAnsiTheme="majorBidi" w:cstheme="majorBidi"/>
          <w:b/>
          <w:bCs/>
        </w:rPr>
      </w:pPr>
    </w:p>
    <w:tbl>
      <w:tblPr>
        <w:tblW w:w="10080" w:type="dxa"/>
        <w:tblLayout w:type="fixed"/>
        <w:tblLook w:val="04A0" w:firstRow="1" w:lastRow="0" w:firstColumn="1" w:lastColumn="0" w:noHBand="0" w:noVBand="1"/>
      </w:tblPr>
      <w:tblGrid>
        <w:gridCol w:w="1440"/>
        <w:gridCol w:w="480"/>
        <w:gridCol w:w="1500"/>
        <w:gridCol w:w="180"/>
        <w:gridCol w:w="900"/>
        <w:gridCol w:w="1172"/>
        <w:gridCol w:w="1078"/>
        <w:gridCol w:w="1203"/>
        <w:gridCol w:w="1317"/>
        <w:gridCol w:w="810"/>
      </w:tblGrid>
      <w:tr w:rsidR="009A7302" w:rsidRPr="00430266" w:rsidTr="009A7302">
        <w:trPr>
          <w:trHeight w:val="315"/>
        </w:trPr>
        <w:tc>
          <w:tcPr>
            <w:tcW w:w="3420" w:type="dxa"/>
            <w:gridSpan w:val="3"/>
            <w:tcBorders>
              <w:top w:val="nil"/>
              <w:left w:val="nil"/>
              <w:bottom w:val="single" w:sz="8" w:space="0" w:color="auto"/>
              <w:right w:val="nil"/>
            </w:tcBorders>
            <w:shd w:val="clear" w:color="auto" w:fill="auto"/>
            <w:noWrap/>
            <w:vAlign w:val="bottom"/>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 xml:space="preserve">Table 3. </w:t>
            </w:r>
            <w:proofErr w:type="spellStart"/>
            <w:r w:rsidRPr="00430266">
              <w:rPr>
                <w:rFonts w:asciiTheme="majorBidi" w:eastAsia="Times New Roman" w:hAnsiTheme="majorBidi" w:cstheme="majorBidi"/>
                <w:b/>
                <w:bCs/>
                <w:color w:val="000000"/>
                <w:sz w:val="24"/>
                <w:szCs w:val="24"/>
              </w:rPr>
              <w:t>B.Ed</w:t>
            </w:r>
            <w:proofErr w:type="spellEnd"/>
            <w:r w:rsidRPr="00430266">
              <w:rPr>
                <w:rFonts w:asciiTheme="majorBidi" w:eastAsia="Times New Roman" w:hAnsiTheme="majorBidi" w:cstheme="majorBidi"/>
                <w:b/>
                <w:bCs/>
                <w:color w:val="000000"/>
                <w:sz w:val="24"/>
                <w:szCs w:val="24"/>
              </w:rPr>
              <w:t xml:space="preserve"> Prim Fall 2016</w:t>
            </w:r>
          </w:p>
        </w:tc>
        <w:tc>
          <w:tcPr>
            <w:tcW w:w="1080" w:type="dxa"/>
            <w:gridSpan w:val="2"/>
            <w:tcBorders>
              <w:top w:val="nil"/>
              <w:left w:val="nil"/>
              <w:bottom w:val="nil"/>
              <w:right w:val="nil"/>
            </w:tcBorders>
            <w:shd w:val="clear" w:color="auto" w:fill="auto"/>
            <w:noWrap/>
            <w:vAlign w:val="bottom"/>
            <w:hideMark/>
          </w:tcPr>
          <w:p w:rsidR="009A7302" w:rsidRPr="00430266" w:rsidRDefault="009A7302" w:rsidP="009A7302">
            <w:pPr>
              <w:spacing w:after="0" w:line="240" w:lineRule="auto"/>
              <w:jc w:val="center"/>
              <w:rPr>
                <w:rFonts w:asciiTheme="majorBidi" w:eastAsia="Times New Roman" w:hAnsiTheme="majorBidi" w:cstheme="majorBidi"/>
                <w:color w:val="000000"/>
              </w:rPr>
            </w:pPr>
          </w:p>
        </w:tc>
        <w:tc>
          <w:tcPr>
            <w:tcW w:w="1172"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078"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203"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317"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r>
      <w:tr w:rsidR="009A7302" w:rsidRPr="00430266" w:rsidTr="009A7302">
        <w:trPr>
          <w:trHeight w:val="765"/>
        </w:trPr>
        <w:tc>
          <w:tcPr>
            <w:tcW w:w="1440" w:type="dxa"/>
            <w:vMerge w:val="restart"/>
            <w:tcBorders>
              <w:top w:val="nil"/>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Subject</w:t>
            </w:r>
          </w:p>
        </w:tc>
        <w:tc>
          <w:tcPr>
            <w:tcW w:w="480" w:type="dxa"/>
            <w:vMerge w:val="restart"/>
            <w:tcBorders>
              <w:top w:val="nil"/>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n</w:t>
            </w:r>
          </w:p>
        </w:tc>
        <w:tc>
          <w:tcPr>
            <w:tcW w:w="1500" w:type="dxa"/>
            <w:tcBorders>
              <w:top w:val="nil"/>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1 Unsatisfactory level</w:t>
            </w:r>
          </w:p>
        </w:tc>
        <w:tc>
          <w:tcPr>
            <w:tcW w:w="1080" w:type="dxa"/>
            <w:gridSpan w:val="2"/>
            <w:tcBorders>
              <w:top w:val="single" w:sz="8"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Needs Improvement level </w:t>
            </w:r>
          </w:p>
        </w:tc>
        <w:tc>
          <w:tcPr>
            <w:tcW w:w="1172" w:type="dxa"/>
            <w:tcBorders>
              <w:top w:val="single" w:sz="8"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Satisfactory level </w:t>
            </w:r>
          </w:p>
        </w:tc>
        <w:tc>
          <w:tcPr>
            <w:tcW w:w="1078" w:type="dxa"/>
            <w:tcBorders>
              <w:top w:val="single" w:sz="8"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Target</w:t>
            </w:r>
          </w:p>
        </w:tc>
        <w:tc>
          <w:tcPr>
            <w:tcW w:w="1203"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Unsatisfactory Level</w:t>
            </w:r>
          </w:p>
        </w:tc>
        <w:tc>
          <w:tcPr>
            <w:tcW w:w="1317" w:type="dxa"/>
            <w:tcBorders>
              <w:top w:val="single" w:sz="8" w:space="0" w:color="auto"/>
              <w:left w:val="nil"/>
              <w:bottom w:val="nil"/>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Mean</w:t>
            </w:r>
          </w:p>
        </w:tc>
      </w:tr>
      <w:tr w:rsidR="009A7302" w:rsidRPr="00430266" w:rsidTr="009A7302">
        <w:trPr>
          <w:trHeight w:val="315"/>
        </w:trPr>
        <w:tc>
          <w:tcPr>
            <w:tcW w:w="144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p>
        </w:tc>
        <w:tc>
          <w:tcPr>
            <w:tcW w:w="48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500"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(0-8/20)</w:t>
            </w:r>
          </w:p>
        </w:tc>
        <w:tc>
          <w:tcPr>
            <w:tcW w:w="1080" w:type="dxa"/>
            <w:gridSpan w:val="2"/>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(9-13/20)</w:t>
            </w:r>
          </w:p>
        </w:tc>
        <w:tc>
          <w:tcPr>
            <w:tcW w:w="1172"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(14-16/20)</w:t>
            </w:r>
          </w:p>
        </w:tc>
        <w:tc>
          <w:tcPr>
            <w:tcW w:w="1078"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(17-20/20)</w:t>
            </w:r>
          </w:p>
        </w:tc>
        <w:tc>
          <w:tcPr>
            <w:tcW w:w="1203"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317" w:type="dxa"/>
            <w:tcBorders>
              <w:top w:val="nil"/>
              <w:left w:val="nil"/>
              <w:bottom w:val="single" w:sz="8" w:space="0" w:color="auto"/>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Satisfactory or Target</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Social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43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89.06</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3.07</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Arabic</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18</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38</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8</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71.88</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2.91</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Islamic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13</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30</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21</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79.69</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3.07</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Mathematics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26</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15</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59.38</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2.83</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Science</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17</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44</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73.44</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2.90</w:t>
            </w:r>
          </w:p>
        </w:tc>
      </w:tr>
      <w:tr w:rsidR="009A7302" w:rsidRPr="00430266" w:rsidTr="00F87411">
        <w:trPr>
          <w:trHeight w:val="330"/>
        </w:trPr>
        <w:tc>
          <w:tcPr>
            <w:tcW w:w="7953"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w:t>
            </w:r>
          </w:p>
        </w:tc>
        <w:tc>
          <w:tcPr>
            <w:tcW w:w="1317" w:type="dxa"/>
            <w:tcBorders>
              <w:top w:val="nil"/>
              <w:left w:val="nil"/>
              <w:bottom w:val="single" w:sz="4"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Mean</w:t>
            </w:r>
          </w:p>
        </w:tc>
        <w:tc>
          <w:tcPr>
            <w:tcW w:w="810" w:type="dxa"/>
            <w:tcBorders>
              <w:top w:val="nil"/>
              <w:left w:val="nil"/>
              <w:bottom w:val="single" w:sz="4"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2.96</w:t>
            </w:r>
          </w:p>
        </w:tc>
      </w:tr>
      <w:tr w:rsidR="00566F37" w:rsidRPr="00430266" w:rsidTr="00F87411">
        <w:trPr>
          <w:trHeight w:val="300"/>
        </w:trPr>
        <w:tc>
          <w:tcPr>
            <w:tcW w:w="10080" w:type="dxa"/>
            <w:gridSpan w:val="10"/>
            <w:tcBorders>
              <w:top w:val="single" w:sz="4" w:space="0" w:color="auto"/>
              <w:bottom w:val="single" w:sz="4" w:space="0" w:color="auto"/>
            </w:tcBorders>
            <w:shd w:val="clear" w:color="auto" w:fill="auto"/>
            <w:noWrap/>
            <w:vAlign w:val="bottom"/>
          </w:tcPr>
          <w:p w:rsidR="00566F37" w:rsidRPr="00F87411" w:rsidRDefault="00566F37" w:rsidP="00566F37">
            <w:pPr>
              <w:spacing w:after="0" w:line="240" w:lineRule="auto"/>
              <w:ind w:left="-18" w:right="422"/>
              <w:rPr>
                <w:rFonts w:asciiTheme="majorBidi" w:eastAsia="Times New Roman" w:hAnsiTheme="majorBidi" w:cstheme="majorBidi"/>
                <w:color w:val="000000"/>
                <w:sz w:val="24"/>
                <w:szCs w:val="24"/>
              </w:rPr>
            </w:pPr>
          </w:p>
          <w:p w:rsidR="00566F37" w:rsidRPr="00F87411" w:rsidRDefault="00566F37" w:rsidP="00F87411">
            <w:pPr>
              <w:spacing w:after="0" w:line="240" w:lineRule="auto"/>
              <w:ind w:left="-18" w:right="422"/>
              <w:rPr>
                <w:rFonts w:asciiTheme="majorBidi" w:eastAsia="Times New Roman" w:hAnsiTheme="majorBidi" w:cstheme="majorBidi"/>
                <w:sz w:val="24"/>
                <w:szCs w:val="24"/>
              </w:rPr>
            </w:pPr>
          </w:p>
        </w:tc>
      </w:tr>
      <w:tr w:rsidR="009A7302" w:rsidRPr="00430266" w:rsidTr="00566F37">
        <w:trPr>
          <w:trHeight w:val="315"/>
        </w:trPr>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 xml:space="preserve">Table 4. </w:t>
            </w:r>
            <w:proofErr w:type="spellStart"/>
            <w:r w:rsidRPr="00430266">
              <w:rPr>
                <w:rFonts w:asciiTheme="majorBidi" w:eastAsia="Times New Roman" w:hAnsiTheme="majorBidi" w:cstheme="majorBidi"/>
                <w:b/>
                <w:bCs/>
                <w:color w:val="000000"/>
                <w:sz w:val="24"/>
                <w:szCs w:val="24"/>
              </w:rPr>
              <w:t>B.Ed</w:t>
            </w:r>
            <w:proofErr w:type="spellEnd"/>
            <w:r w:rsidRPr="00430266">
              <w:rPr>
                <w:rFonts w:asciiTheme="majorBidi" w:eastAsia="Times New Roman" w:hAnsiTheme="majorBidi" w:cstheme="majorBidi"/>
                <w:b/>
                <w:bCs/>
                <w:color w:val="000000"/>
                <w:sz w:val="24"/>
                <w:szCs w:val="24"/>
              </w:rPr>
              <w:t xml:space="preserve"> Prim Spring 2017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r>
      <w:tr w:rsidR="009A7302" w:rsidRPr="00430266" w:rsidTr="00566F37">
        <w:trPr>
          <w:trHeight w:val="765"/>
        </w:trPr>
        <w:tc>
          <w:tcPr>
            <w:tcW w:w="1440"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Subject</w:t>
            </w:r>
          </w:p>
        </w:tc>
        <w:tc>
          <w:tcPr>
            <w:tcW w:w="480"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n</w:t>
            </w:r>
          </w:p>
        </w:tc>
        <w:tc>
          <w:tcPr>
            <w:tcW w:w="1500" w:type="dxa"/>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1 Unsatisfactory level</w:t>
            </w:r>
          </w:p>
        </w:tc>
        <w:tc>
          <w:tcPr>
            <w:tcW w:w="1080" w:type="dxa"/>
            <w:gridSpan w:val="2"/>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Needs Improvement level </w:t>
            </w:r>
          </w:p>
        </w:tc>
        <w:tc>
          <w:tcPr>
            <w:tcW w:w="1172" w:type="dxa"/>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Satisfactory level </w:t>
            </w:r>
          </w:p>
        </w:tc>
        <w:tc>
          <w:tcPr>
            <w:tcW w:w="1078" w:type="dxa"/>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Target</w:t>
            </w:r>
          </w:p>
        </w:tc>
        <w:tc>
          <w:tcPr>
            <w:tcW w:w="1203"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Unsatisfactory Level</w:t>
            </w:r>
          </w:p>
        </w:tc>
        <w:tc>
          <w:tcPr>
            <w:tcW w:w="1317" w:type="dxa"/>
            <w:tcBorders>
              <w:top w:val="single" w:sz="4" w:space="0" w:color="auto"/>
              <w:left w:val="nil"/>
              <w:bottom w:val="nil"/>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w:t>
            </w:r>
          </w:p>
        </w:tc>
        <w:tc>
          <w:tcPr>
            <w:tcW w:w="810"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Mean</w:t>
            </w:r>
          </w:p>
        </w:tc>
      </w:tr>
      <w:tr w:rsidR="009A7302" w:rsidRPr="00430266" w:rsidTr="009A7302">
        <w:trPr>
          <w:trHeight w:val="315"/>
        </w:trPr>
        <w:tc>
          <w:tcPr>
            <w:tcW w:w="144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p>
        </w:tc>
        <w:tc>
          <w:tcPr>
            <w:tcW w:w="48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500"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(0-8/20)</w:t>
            </w:r>
          </w:p>
        </w:tc>
        <w:tc>
          <w:tcPr>
            <w:tcW w:w="1080" w:type="dxa"/>
            <w:gridSpan w:val="2"/>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(9-13/20)</w:t>
            </w:r>
          </w:p>
        </w:tc>
        <w:tc>
          <w:tcPr>
            <w:tcW w:w="1172"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(14-16/20)</w:t>
            </w:r>
          </w:p>
        </w:tc>
        <w:tc>
          <w:tcPr>
            <w:tcW w:w="1078"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(17-20/20)</w:t>
            </w:r>
          </w:p>
        </w:tc>
        <w:tc>
          <w:tcPr>
            <w:tcW w:w="1203"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317" w:type="dxa"/>
            <w:tcBorders>
              <w:top w:val="nil"/>
              <w:left w:val="nil"/>
              <w:bottom w:val="single" w:sz="8" w:space="0" w:color="auto"/>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Satisfactory or Target</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Social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28</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100.00</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3.50</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Arabic</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19</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15</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91.89</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3.25</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Islamic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21</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16</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100.00</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3.29</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Mathematics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4</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20</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89.19</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3.31</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Science</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100.00</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3.21</w:t>
            </w:r>
          </w:p>
        </w:tc>
      </w:tr>
      <w:tr w:rsidR="009A7302" w:rsidRPr="00430266" w:rsidTr="009A7302">
        <w:trPr>
          <w:trHeight w:val="330"/>
        </w:trPr>
        <w:tc>
          <w:tcPr>
            <w:tcW w:w="795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Mean</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3.31</w:t>
            </w:r>
          </w:p>
        </w:tc>
      </w:tr>
    </w:tbl>
    <w:p w:rsidR="00217CF6" w:rsidRPr="00430266" w:rsidRDefault="00217CF6" w:rsidP="00217CF6">
      <w:pPr>
        <w:pStyle w:val="ListParagraph"/>
        <w:ind w:left="0"/>
        <w:rPr>
          <w:rFonts w:asciiTheme="majorBidi" w:hAnsiTheme="majorBidi" w:cstheme="majorBidi"/>
          <w:b/>
          <w:bCs/>
        </w:rPr>
      </w:pPr>
    </w:p>
    <w:p w:rsidR="004646EA" w:rsidRPr="00430266" w:rsidRDefault="004646EA" w:rsidP="00217CF6">
      <w:pPr>
        <w:pStyle w:val="ListParagraph"/>
        <w:ind w:left="0"/>
        <w:rPr>
          <w:rFonts w:asciiTheme="majorBidi" w:hAnsiTheme="majorBidi" w:cstheme="majorBidi"/>
          <w:b/>
          <w:bCs/>
        </w:rPr>
      </w:pPr>
    </w:p>
    <w:p w:rsidR="00F87411" w:rsidRPr="00F87411" w:rsidRDefault="00F87411" w:rsidP="00F87411">
      <w:pPr>
        <w:spacing w:after="0" w:line="240" w:lineRule="auto"/>
        <w:ind w:left="-18" w:right="422"/>
        <w:rPr>
          <w:rFonts w:asciiTheme="majorBidi" w:eastAsia="Times New Roman" w:hAnsiTheme="majorBidi" w:cstheme="majorBidi"/>
          <w:color w:val="000000"/>
          <w:sz w:val="24"/>
          <w:szCs w:val="24"/>
        </w:rPr>
      </w:pPr>
      <w:r w:rsidRPr="00F87411">
        <w:rPr>
          <w:rFonts w:asciiTheme="majorBidi" w:eastAsia="Times New Roman" w:hAnsiTheme="majorBidi" w:cstheme="majorBidi"/>
          <w:color w:val="000000"/>
          <w:sz w:val="24"/>
          <w:szCs w:val="24"/>
        </w:rPr>
        <w:lastRenderedPageBreak/>
        <w:t xml:space="preserve">In B.Ed. Prim, Fall 2016, a large number </w:t>
      </w:r>
      <w:r>
        <w:rPr>
          <w:rFonts w:asciiTheme="majorBidi" w:eastAsia="Times New Roman" w:hAnsiTheme="majorBidi" w:cstheme="majorBidi"/>
          <w:color w:val="000000"/>
          <w:sz w:val="24"/>
          <w:szCs w:val="24"/>
        </w:rPr>
        <w:t xml:space="preserve">of students </w:t>
      </w:r>
      <w:r w:rsidRPr="00F87411">
        <w:rPr>
          <w:rFonts w:asciiTheme="majorBidi" w:eastAsia="Times New Roman" w:hAnsiTheme="majorBidi" w:cstheme="majorBidi"/>
          <w:color w:val="000000"/>
          <w:sz w:val="24"/>
          <w:szCs w:val="24"/>
        </w:rPr>
        <w:t>scored at needs improvement: in all sections of the exam</w:t>
      </w:r>
      <w:r w:rsidR="00C9531B">
        <w:rPr>
          <w:rFonts w:asciiTheme="majorBidi" w:eastAsia="Times New Roman" w:hAnsiTheme="majorBidi" w:cstheme="majorBidi"/>
          <w:color w:val="000000"/>
          <w:sz w:val="24"/>
          <w:szCs w:val="24"/>
        </w:rPr>
        <w:t xml:space="preserve"> (Table 3)</w:t>
      </w:r>
      <w:r w:rsidRPr="00F87411">
        <w:rPr>
          <w:rFonts w:asciiTheme="majorBidi" w:eastAsia="Times New Roman" w:hAnsiTheme="majorBidi" w:cstheme="majorBidi"/>
          <w:color w:val="000000"/>
          <w:sz w:val="24"/>
          <w:szCs w:val="24"/>
        </w:rPr>
        <w:t>. The overall mean score was below satisfactory. The lowest mean</w:t>
      </w:r>
      <w:r>
        <w:rPr>
          <w:rFonts w:asciiTheme="majorBidi" w:eastAsia="Times New Roman" w:hAnsiTheme="majorBidi" w:cstheme="majorBidi"/>
          <w:color w:val="000000"/>
          <w:sz w:val="24"/>
          <w:szCs w:val="24"/>
        </w:rPr>
        <w:t>s were</w:t>
      </w:r>
      <w:r w:rsidRPr="00F87411">
        <w:rPr>
          <w:rFonts w:asciiTheme="majorBidi" w:eastAsia="Times New Roman" w:hAnsiTheme="majorBidi" w:cstheme="majorBidi"/>
          <w:color w:val="000000"/>
          <w:sz w:val="24"/>
          <w:szCs w:val="24"/>
        </w:rPr>
        <w:t xml:space="preserve"> in the Math section (59.38%) and </w:t>
      </w:r>
      <w:r>
        <w:rPr>
          <w:rFonts w:asciiTheme="majorBidi" w:eastAsia="Times New Roman" w:hAnsiTheme="majorBidi" w:cstheme="majorBidi"/>
          <w:color w:val="000000"/>
          <w:sz w:val="24"/>
          <w:szCs w:val="24"/>
        </w:rPr>
        <w:t xml:space="preserve">the </w:t>
      </w:r>
      <w:r w:rsidRPr="00F87411">
        <w:rPr>
          <w:rFonts w:asciiTheme="majorBidi" w:eastAsia="Times New Roman" w:hAnsiTheme="majorBidi" w:cstheme="majorBidi"/>
          <w:color w:val="000000"/>
          <w:sz w:val="24"/>
          <w:szCs w:val="24"/>
        </w:rPr>
        <w:t xml:space="preserve">Arabic </w:t>
      </w:r>
      <w:r>
        <w:rPr>
          <w:rFonts w:asciiTheme="majorBidi" w:eastAsia="Times New Roman" w:hAnsiTheme="majorBidi" w:cstheme="majorBidi"/>
          <w:color w:val="000000"/>
          <w:sz w:val="24"/>
          <w:szCs w:val="24"/>
        </w:rPr>
        <w:t xml:space="preserve">section </w:t>
      </w:r>
      <w:r w:rsidRPr="00F87411">
        <w:rPr>
          <w:rFonts w:asciiTheme="majorBidi" w:eastAsia="Times New Roman" w:hAnsiTheme="majorBidi" w:cstheme="majorBidi"/>
          <w:color w:val="000000"/>
          <w:sz w:val="24"/>
          <w:szCs w:val="24"/>
        </w:rPr>
        <w:t xml:space="preserve">(71.88%). </w:t>
      </w:r>
      <w:r>
        <w:rPr>
          <w:rFonts w:asciiTheme="majorBidi" w:eastAsia="Times New Roman" w:hAnsiTheme="majorBidi" w:cstheme="majorBidi"/>
          <w:color w:val="000000"/>
          <w:sz w:val="24"/>
          <w:szCs w:val="24"/>
        </w:rPr>
        <w:t>T</w:t>
      </w:r>
      <w:r w:rsidRPr="00F87411">
        <w:rPr>
          <w:rFonts w:asciiTheme="majorBidi" w:eastAsia="Times New Roman" w:hAnsiTheme="majorBidi" w:cstheme="majorBidi"/>
          <w:color w:val="000000"/>
          <w:sz w:val="24"/>
          <w:szCs w:val="24"/>
        </w:rPr>
        <w:t xml:space="preserve">he overall mean score was 73.89% out of 100, </w:t>
      </w:r>
      <w:r>
        <w:rPr>
          <w:rFonts w:asciiTheme="majorBidi" w:eastAsia="Times New Roman" w:hAnsiTheme="majorBidi" w:cstheme="majorBidi"/>
          <w:color w:val="000000"/>
          <w:sz w:val="24"/>
          <w:szCs w:val="24"/>
        </w:rPr>
        <w:t xml:space="preserve">and only </w:t>
      </w:r>
      <w:r w:rsidRPr="00F87411">
        <w:rPr>
          <w:rFonts w:asciiTheme="majorBidi" w:eastAsia="Times New Roman" w:hAnsiTheme="majorBidi" w:cstheme="majorBidi"/>
          <w:color w:val="000000"/>
          <w:sz w:val="24"/>
          <w:szCs w:val="24"/>
        </w:rPr>
        <w:t>19 out of 64 students (29.68%) scored above 80%.</w:t>
      </w:r>
    </w:p>
    <w:p w:rsidR="00F87411" w:rsidRDefault="00F87411" w:rsidP="00566F37">
      <w:pPr>
        <w:pStyle w:val="ListParagraph"/>
        <w:ind w:left="0"/>
        <w:rPr>
          <w:rFonts w:asciiTheme="majorBidi" w:hAnsiTheme="majorBidi" w:cstheme="majorBidi"/>
        </w:rPr>
      </w:pPr>
    </w:p>
    <w:p w:rsidR="004646EA" w:rsidRPr="00566F37" w:rsidRDefault="00566F37" w:rsidP="00F377EC">
      <w:pPr>
        <w:pStyle w:val="ListParagraph"/>
        <w:ind w:left="0"/>
        <w:rPr>
          <w:rFonts w:asciiTheme="majorBidi" w:hAnsiTheme="majorBidi" w:cstheme="majorBidi"/>
        </w:rPr>
      </w:pPr>
      <w:r>
        <w:rPr>
          <w:rFonts w:asciiTheme="majorBidi" w:hAnsiTheme="majorBidi" w:cstheme="majorBidi"/>
        </w:rPr>
        <w:t xml:space="preserve">In BED </w:t>
      </w:r>
      <w:proofErr w:type="spellStart"/>
      <w:r>
        <w:rPr>
          <w:rFonts w:asciiTheme="majorBidi" w:hAnsiTheme="majorBidi" w:cstheme="majorBidi"/>
        </w:rPr>
        <w:t>Pri</w:t>
      </w:r>
      <w:proofErr w:type="spellEnd"/>
      <w:r>
        <w:rPr>
          <w:rFonts w:asciiTheme="majorBidi" w:hAnsiTheme="majorBidi" w:cstheme="majorBidi"/>
        </w:rPr>
        <w:t>,</w:t>
      </w:r>
      <w:r w:rsidR="00C9531B">
        <w:rPr>
          <w:rFonts w:asciiTheme="majorBidi" w:hAnsiTheme="majorBidi" w:cstheme="majorBidi"/>
        </w:rPr>
        <w:t xml:space="preserve"> Spring 2017, out of</w:t>
      </w:r>
      <w:r w:rsidRPr="00566F37">
        <w:rPr>
          <w:rFonts w:asciiTheme="majorBidi" w:hAnsiTheme="majorBidi" w:cstheme="majorBidi"/>
        </w:rPr>
        <w:t xml:space="preserve"> a total of 37 students, only 4 (10%) scored less than 80%.  </w:t>
      </w:r>
      <w:r>
        <w:rPr>
          <w:rFonts w:asciiTheme="majorBidi" w:hAnsiTheme="majorBidi" w:cstheme="majorBidi"/>
        </w:rPr>
        <w:t xml:space="preserve">Table 4 indicates that the majority of students scored at satisfactory/target level. Only 3 students scored at needs improvement in Arabic and 4 scored at needs improvement in Math. </w:t>
      </w:r>
      <w:r w:rsidR="00F377EC">
        <w:rPr>
          <w:rFonts w:asciiTheme="majorBidi" w:hAnsiTheme="majorBidi" w:cstheme="majorBidi"/>
        </w:rPr>
        <w:t>The data indicates that while student scores were higher in Spring 2017 than Fall 2016, student scores in Math and Arabic need some consideration. There is a need to address this issue to improve student scores in both of these areas. M</w:t>
      </w:r>
      <w:r>
        <w:rPr>
          <w:rFonts w:asciiTheme="majorBidi" w:hAnsiTheme="majorBidi" w:cstheme="majorBidi"/>
        </w:rPr>
        <w:t xml:space="preserve"> </w:t>
      </w:r>
    </w:p>
    <w:p w:rsidR="004646EA" w:rsidRPr="00430266" w:rsidRDefault="004646EA" w:rsidP="00217CF6">
      <w:pPr>
        <w:pStyle w:val="ListParagraph"/>
        <w:ind w:left="0"/>
        <w:rPr>
          <w:rFonts w:asciiTheme="majorBidi" w:hAnsiTheme="majorBidi" w:cstheme="majorBidi"/>
          <w:b/>
          <w:bCs/>
        </w:rPr>
      </w:pPr>
    </w:p>
    <w:p w:rsidR="004646EA" w:rsidRPr="00430266" w:rsidRDefault="004646EA" w:rsidP="00217CF6">
      <w:pPr>
        <w:pStyle w:val="ListParagraph"/>
        <w:ind w:left="0"/>
        <w:rPr>
          <w:rFonts w:asciiTheme="majorBidi" w:hAnsiTheme="majorBidi" w:cstheme="majorBidi"/>
          <w:b/>
          <w:bCs/>
        </w:rPr>
      </w:pPr>
      <w:r w:rsidRPr="00430266">
        <w:rPr>
          <w:rFonts w:asciiTheme="majorBidi" w:hAnsiTheme="majorBidi" w:cstheme="majorBidi"/>
          <w:b/>
          <w:bCs/>
        </w:rPr>
        <w:t>Table 5. B.Ed</w:t>
      </w:r>
      <w:r w:rsidR="00E91FDC" w:rsidRPr="00430266">
        <w:rPr>
          <w:rFonts w:asciiTheme="majorBidi" w:hAnsiTheme="majorBidi" w:cstheme="majorBidi"/>
          <w:b/>
          <w:bCs/>
        </w:rPr>
        <w:t>.</w:t>
      </w:r>
      <w:r w:rsidRPr="00430266">
        <w:rPr>
          <w:rFonts w:asciiTheme="majorBidi" w:hAnsiTheme="majorBidi" w:cstheme="majorBidi"/>
          <w:b/>
          <w:bCs/>
        </w:rPr>
        <w:t xml:space="preserve"> Sec Fall 2016</w:t>
      </w:r>
    </w:p>
    <w:tbl>
      <w:tblPr>
        <w:tblW w:w="9355" w:type="dxa"/>
        <w:tblInd w:w="-5" w:type="dxa"/>
        <w:tblLook w:val="04A0" w:firstRow="1" w:lastRow="0" w:firstColumn="1" w:lastColumn="0" w:noHBand="0" w:noVBand="1"/>
      </w:tblPr>
      <w:tblGrid>
        <w:gridCol w:w="2790"/>
        <w:gridCol w:w="540"/>
        <w:gridCol w:w="810"/>
        <w:gridCol w:w="900"/>
        <w:gridCol w:w="720"/>
        <w:gridCol w:w="810"/>
        <w:gridCol w:w="810"/>
        <w:gridCol w:w="990"/>
        <w:gridCol w:w="985"/>
      </w:tblGrid>
      <w:tr w:rsidR="00212A02" w:rsidRPr="00430266" w:rsidTr="0048203F">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54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n</w:t>
            </w:r>
          </w:p>
        </w:tc>
        <w:tc>
          <w:tcPr>
            <w:tcW w:w="81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Mean</w:t>
            </w:r>
          </w:p>
        </w:tc>
        <w:tc>
          <w:tcPr>
            <w:tcW w:w="90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Less than 70%</w:t>
            </w:r>
          </w:p>
        </w:tc>
        <w:tc>
          <w:tcPr>
            <w:tcW w:w="72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AD5FF1" w:rsidP="00212A02">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70-79</w:t>
            </w:r>
            <w:r w:rsidR="00212A02" w:rsidRPr="00430266">
              <w:rPr>
                <w:rFonts w:asciiTheme="majorBidi" w:eastAsia="Times New Roman" w:hAnsiTheme="majorBidi" w:cstheme="majorBidi"/>
                <w:color w:val="000000"/>
              </w:rPr>
              <w:t>%</w:t>
            </w:r>
          </w:p>
        </w:tc>
        <w:tc>
          <w:tcPr>
            <w:tcW w:w="81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w:t>
            </w:r>
            <w:r w:rsidR="00AD5FF1">
              <w:rPr>
                <w:rFonts w:asciiTheme="majorBidi" w:eastAsia="Times New Roman" w:hAnsiTheme="majorBidi" w:cstheme="majorBidi"/>
                <w:color w:val="000000"/>
              </w:rPr>
              <w:t>0</w:t>
            </w:r>
            <w:r w:rsidRPr="00430266">
              <w:rPr>
                <w:rFonts w:asciiTheme="majorBidi" w:eastAsia="Times New Roman" w:hAnsiTheme="majorBidi" w:cstheme="majorBidi"/>
                <w:color w:val="000000"/>
              </w:rPr>
              <w:t>-84%</w:t>
            </w:r>
          </w:p>
        </w:tc>
        <w:tc>
          <w:tcPr>
            <w:tcW w:w="81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85-89%</w:t>
            </w:r>
          </w:p>
        </w:tc>
        <w:tc>
          <w:tcPr>
            <w:tcW w:w="99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90-100%</w:t>
            </w:r>
          </w:p>
        </w:tc>
        <w:tc>
          <w:tcPr>
            <w:tcW w:w="985" w:type="dxa"/>
            <w:tcBorders>
              <w:top w:val="single" w:sz="4" w:space="0" w:color="auto"/>
              <w:left w:val="nil"/>
              <w:bottom w:val="single" w:sz="4" w:space="0" w:color="auto"/>
              <w:right w:val="single" w:sz="4" w:space="0" w:color="auto"/>
            </w:tcBorders>
            <w:shd w:val="clear" w:color="000000" w:fill="8EA9DB"/>
            <w:vAlign w:val="bottom"/>
          </w:tcPr>
          <w:p w:rsidR="00212A02" w:rsidRPr="00430266" w:rsidRDefault="00B05E5B" w:rsidP="00212A02">
            <w:pPr>
              <w:rPr>
                <w:rFonts w:asciiTheme="majorBidi" w:hAnsiTheme="majorBidi" w:cstheme="majorBidi"/>
                <w:color w:val="000000"/>
              </w:rPr>
            </w:pPr>
            <w:r>
              <w:rPr>
                <w:rFonts w:asciiTheme="majorBidi" w:hAnsiTheme="majorBidi" w:cstheme="majorBidi"/>
                <w:color w:val="000000"/>
              </w:rPr>
              <w:t xml:space="preserve">At or </w:t>
            </w:r>
            <w:r w:rsidR="00212A02" w:rsidRPr="00430266">
              <w:rPr>
                <w:rFonts w:asciiTheme="majorBidi" w:hAnsiTheme="majorBidi" w:cstheme="majorBidi"/>
                <w:color w:val="000000"/>
              </w:rPr>
              <w:t>Above 80%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Social Studies</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76.59</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sidRPr="00430266">
              <w:rPr>
                <w:rFonts w:asciiTheme="majorBidi" w:eastAsia="Times New Roman" w:hAnsiTheme="majorBidi" w:cstheme="majorBidi"/>
              </w:rPr>
              <w:t>8</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27.3</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Arabic Language</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89.68</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sidRPr="00430266">
              <w:rPr>
                <w:rFonts w:asciiTheme="majorBidi" w:eastAsia="Times New Roman" w:hAnsiTheme="majorBidi" w:cstheme="majorBidi"/>
              </w:rPr>
              <w:t>0</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100.0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English</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78</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5</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50.0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xml:space="preserve">Secondary Education – </w:t>
            </w:r>
          </w:p>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Math</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87.5</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80.0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Islamic Studies</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74.84</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7</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12.5</w:t>
            </w:r>
          </w:p>
        </w:tc>
      </w:tr>
      <w:tr w:rsidR="00AD5FF1" w:rsidRPr="00430266" w:rsidTr="00167841">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Chemistry</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72.81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single" w:sz="4" w:space="0" w:color="auto"/>
              <w:left w:val="nil"/>
              <w:bottom w:val="single" w:sz="4" w:space="0" w:color="auto"/>
              <w:right w:val="single" w:sz="4" w:space="0" w:color="auto"/>
            </w:tcBorders>
          </w:tcPr>
          <w:p w:rsidR="00AD5FF1" w:rsidRDefault="00AD5FF1" w:rsidP="00AD5FF1">
            <w:pPr>
              <w:jc w:val="center"/>
            </w:pPr>
            <w:r w:rsidRPr="0066039E">
              <w:t>25.0</w:t>
            </w:r>
          </w:p>
        </w:tc>
      </w:tr>
      <w:tr w:rsidR="00212A02" w:rsidRPr="00430266" w:rsidTr="00212A02">
        <w:trPr>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12A02" w:rsidRPr="00430266" w:rsidRDefault="00212A02" w:rsidP="00E91FDC">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B.Ed. Sec Overall mean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79.9</w:t>
            </w:r>
          </w:p>
        </w:tc>
        <w:tc>
          <w:tcPr>
            <w:tcW w:w="900" w:type="dxa"/>
            <w:tcBorders>
              <w:top w:val="single" w:sz="4" w:space="0" w:color="auto"/>
              <w:left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72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99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985" w:type="dxa"/>
            <w:tcBorders>
              <w:top w:val="single" w:sz="4" w:space="0" w:color="auto"/>
            </w:tcBorders>
          </w:tcPr>
          <w:p w:rsidR="00212A02" w:rsidRPr="00430266" w:rsidRDefault="00212A02" w:rsidP="004646EA">
            <w:pPr>
              <w:spacing w:after="0" w:line="240" w:lineRule="auto"/>
              <w:jc w:val="center"/>
              <w:rPr>
                <w:rFonts w:asciiTheme="majorBidi" w:eastAsia="Times New Roman" w:hAnsiTheme="majorBidi" w:cstheme="majorBidi"/>
                <w:color w:val="000000"/>
              </w:rPr>
            </w:pPr>
          </w:p>
        </w:tc>
      </w:tr>
    </w:tbl>
    <w:p w:rsidR="009A7302" w:rsidRPr="00430266" w:rsidRDefault="009A7302" w:rsidP="00217CF6">
      <w:pPr>
        <w:pStyle w:val="ListParagraph"/>
        <w:ind w:left="0"/>
        <w:rPr>
          <w:rFonts w:asciiTheme="majorBidi" w:hAnsiTheme="majorBidi" w:cstheme="majorBidi"/>
          <w:b/>
          <w:bCs/>
        </w:rPr>
      </w:pPr>
    </w:p>
    <w:p w:rsidR="009A7302" w:rsidRPr="00430266" w:rsidRDefault="004646EA" w:rsidP="00217CF6">
      <w:pPr>
        <w:pStyle w:val="ListParagraph"/>
        <w:ind w:left="0"/>
        <w:rPr>
          <w:rFonts w:asciiTheme="majorBidi" w:hAnsiTheme="majorBidi" w:cstheme="majorBidi"/>
          <w:b/>
          <w:bCs/>
        </w:rPr>
      </w:pPr>
      <w:r w:rsidRPr="00430266">
        <w:rPr>
          <w:rFonts w:asciiTheme="majorBidi" w:eastAsia="Times New Roman" w:hAnsiTheme="majorBidi" w:cstheme="majorBidi"/>
          <w:b/>
          <w:bCs/>
          <w:color w:val="000000"/>
        </w:rPr>
        <w:t>Table 6. B.Ed. Sec</w:t>
      </w:r>
      <w:r w:rsidRPr="004646EA">
        <w:rPr>
          <w:rFonts w:asciiTheme="majorBidi" w:eastAsia="Times New Roman" w:hAnsiTheme="majorBidi" w:cstheme="majorBidi"/>
          <w:b/>
          <w:bCs/>
          <w:color w:val="000000"/>
        </w:rPr>
        <w:t xml:space="preserve"> Spring 2017</w:t>
      </w:r>
    </w:p>
    <w:tbl>
      <w:tblPr>
        <w:tblW w:w="9355" w:type="dxa"/>
        <w:tblInd w:w="-5" w:type="dxa"/>
        <w:tblLook w:val="04A0" w:firstRow="1" w:lastRow="0" w:firstColumn="1" w:lastColumn="0" w:noHBand="0" w:noVBand="1"/>
      </w:tblPr>
      <w:tblGrid>
        <w:gridCol w:w="2790"/>
        <w:gridCol w:w="540"/>
        <w:gridCol w:w="810"/>
        <w:gridCol w:w="810"/>
        <w:gridCol w:w="810"/>
        <w:gridCol w:w="810"/>
        <w:gridCol w:w="810"/>
        <w:gridCol w:w="990"/>
        <w:gridCol w:w="985"/>
      </w:tblGrid>
      <w:tr w:rsidR="00430266" w:rsidRPr="00430266" w:rsidTr="00544A47">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 </w:t>
            </w:r>
          </w:p>
        </w:tc>
        <w:tc>
          <w:tcPr>
            <w:tcW w:w="54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n</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Mean</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Less than 70%</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B05E5B" w:rsidP="00430266">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70-79</w:t>
            </w:r>
            <w:r w:rsidR="00430266" w:rsidRPr="004646EA">
              <w:rPr>
                <w:rFonts w:asciiTheme="majorBidi" w:eastAsia="Times New Roman" w:hAnsiTheme="majorBidi" w:cstheme="majorBidi"/>
                <w:color w:val="000000"/>
              </w:rPr>
              <w:t>%</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8</w:t>
            </w:r>
            <w:r w:rsidR="00B05E5B">
              <w:rPr>
                <w:rFonts w:asciiTheme="majorBidi" w:eastAsia="Times New Roman" w:hAnsiTheme="majorBidi" w:cstheme="majorBidi"/>
                <w:color w:val="000000"/>
              </w:rPr>
              <w:t>0</w:t>
            </w:r>
            <w:r w:rsidRPr="004646EA">
              <w:rPr>
                <w:rFonts w:asciiTheme="majorBidi" w:eastAsia="Times New Roman" w:hAnsiTheme="majorBidi" w:cstheme="majorBidi"/>
                <w:color w:val="000000"/>
              </w:rPr>
              <w:t>-84%</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85-89%</w:t>
            </w:r>
          </w:p>
        </w:tc>
        <w:tc>
          <w:tcPr>
            <w:tcW w:w="99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90-100%</w:t>
            </w:r>
          </w:p>
        </w:tc>
        <w:tc>
          <w:tcPr>
            <w:tcW w:w="985" w:type="dxa"/>
            <w:tcBorders>
              <w:top w:val="single" w:sz="4" w:space="0" w:color="auto"/>
              <w:left w:val="nil"/>
              <w:bottom w:val="single" w:sz="4" w:space="0" w:color="auto"/>
              <w:right w:val="single" w:sz="4" w:space="0" w:color="auto"/>
            </w:tcBorders>
            <w:shd w:val="clear" w:color="auto" w:fill="8EAADB" w:themeFill="accent5" w:themeFillTint="99"/>
            <w:vAlign w:val="bottom"/>
          </w:tcPr>
          <w:p w:rsidR="00430266" w:rsidRPr="00430266" w:rsidRDefault="00B05E5B" w:rsidP="00430266">
            <w:pPr>
              <w:rPr>
                <w:rFonts w:asciiTheme="majorBidi" w:hAnsiTheme="majorBidi" w:cstheme="majorBidi"/>
                <w:color w:val="000000"/>
              </w:rPr>
            </w:pPr>
            <w:r>
              <w:rPr>
                <w:rFonts w:asciiTheme="majorBidi" w:hAnsiTheme="majorBidi" w:cstheme="majorBidi"/>
                <w:color w:val="000000"/>
              </w:rPr>
              <w:t xml:space="preserve">At or </w:t>
            </w:r>
            <w:r w:rsidR="00430266" w:rsidRPr="00430266">
              <w:rPr>
                <w:rFonts w:asciiTheme="majorBidi" w:hAnsiTheme="majorBidi" w:cstheme="majorBidi"/>
                <w:color w:val="000000"/>
              </w:rPr>
              <w:t>Above 80%</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Social Studies</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27</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77.68</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21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6</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22.22</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Arabic Language</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15</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87.89</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2</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3</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5</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5</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86.67</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English</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76.07</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5</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28.57</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30266"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 xml:space="preserve">Secondary Education – </w:t>
            </w:r>
          </w:p>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Math</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84.16</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66.67</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Islamic Studies</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20</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78.75</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11</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3</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6</w:t>
            </w:r>
          </w:p>
        </w:tc>
        <w:tc>
          <w:tcPr>
            <w:tcW w:w="99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85" w:type="dxa"/>
            <w:tcBorders>
              <w:top w:val="single" w:sz="4" w:space="0" w:color="auto"/>
              <w:left w:val="nil"/>
              <w:bottom w:val="single" w:sz="4" w:space="0" w:color="auto"/>
              <w:right w:val="single" w:sz="4" w:space="0" w:color="auto"/>
            </w:tcBorders>
          </w:tcPr>
          <w:p w:rsidR="00B05E5B" w:rsidRDefault="00B05E5B" w:rsidP="00B05E5B">
            <w:pPr>
              <w:jc w:val="center"/>
            </w:pPr>
            <w:r w:rsidRPr="00BF61EF">
              <w:t>45.00</w:t>
            </w:r>
          </w:p>
        </w:tc>
      </w:tr>
      <w:tr w:rsidR="00212A02" w:rsidRPr="00430266" w:rsidTr="00212A02">
        <w:trPr>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12A02" w:rsidRPr="00430266" w:rsidRDefault="00212A02" w:rsidP="00E91FDC">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b/>
                <w:bCs/>
                <w:color w:val="000000"/>
              </w:rPr>
              <w:t>B.Ed. Sec Overall mean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80.91</w:t>
            </w:r>
          </w:p>
        </w:tc>
        <w:tc>
          <w:tcPr>
            <w:tcW w:w="810" w:type="dxa"/>
            <w:tcBorders>
              <w:top w:val="single" w:sz="4" w:space="0" w:color="auto"/>
              <w:left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99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985" w:type="dxa"/>
            <w:tcBorders>
              <w:top w:val="single" w:sz="4" w:space="0" w:color="auto"/>
            </w:tcBorders>
          </w:tcPr>
          <w:p w:rsidR="00212A02" w:rsidRPr="00430266" w:rsidRDefault="00212A02" w:rsidP="004646EA">
            <w:pPr>
              <w:spacing w:after="0" w:line="240" w:lineRule="auto"/>
              <w:jc w:val="right"/>
              <w:rPr>
                <w:rFonts w:asciiTheme="majorBidi" w:eastAsia="Times New Roman" w:hAnsiTheme="majorBidi" w:cstheme="majorBidi"/>
                <w:color w:val="000000"/>
              </w:rPr>
            </w:pPr>
          </w:p>
        </w:tc>
      </w:tr>
    </w:tbl>
    <w:p w:rsidR="004646EA" w:rsidRPr="00430266" w:rsidRDefault="004646EA" w:rsidP="00217CF6">
      <w:pPr>
        <w:pStyle w:val="ListParagraph"/>
        <w:ind w:left="0"/>
        <w:rPr>
          <w:rFonts w:asciiTheme="majorBidi" w:hAnsiTheme="majorBidi" w:cstheme="majorBidi"/>
          <w:b/>
          <w:bCs/>
        </w:rPr>
      </w:pPr>
    </w:p>
    <w:p w:rsidR="009B78DF" w:rsidRPr="00430266" w:rsidRDefault="009B78DF" w:rsidP="00217CF6">
      <w:pPr>
        <w:pStyle w:val="ListParagraph"/>
        <w:ind w:left="0"/>
        <w:rPr>
          <w:rFonts w:asciiTheme="majorBidi" w:hAnsiTheme="majorBidi" w:cstheme="majorBidi"/>
          <w:b/>
          <w:bCs/>
        </w:rPr>
      </w:pPr>
      <w:r w:rsidRPr="00430266">
        <w:rPr>
          <w:rFonts w:asciiTheme="majorBidi" w:hAnsiTheme="majorBidi" w:cstheme="majorBidi"/>
          <w:b/>
          <w:bCs/>
        </w:rPr>
        <w:t xml:space="preserve">Table 7. Comprehensive exam </w:t>
      </w:r>
      <w:r w:rsidR="00212A02" w:rsidRPr="00430266">
        <w:rPr>
          <w:rFonts w:asciiTheme="majorBidi" w:hAnsiTheme="majorBidi" w:cstheme="majorBidi"/>
          <w:b/>
          <w:bCs/>
        </w:rPr>
        <w:t xml:space="preserve">mean scores for B.Ed. Sec 2016 &amp; </w:t>
      </w:r>
      <w:r w:rsidRPr="00430266">
        <w:rPr>
          <w:rFonts w:asciiTheme="majorBidi" w:hAnsiTheme="majorBidi" w:cstheme="majorBidi"/>
          <w:b/>
          <w:bCs/>
        </w:rPr>
        <w:t>17</w:t>
      </w:r>
    </w:p>
    <w:tbl>
      <w:tblPr>
        <w:tblStyle w:val="ListTable3-Accent1"/>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890"/>
        <w:gridCol w:w="2072"/>
        <w:gridCol w:w="2072"/>
      </w:tblGrid>
      <w:tr w:rsidR="00430266" w:rsidRPr="00430266" w:rsidTr="0043026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60" w:type="dxa"/>
            <w:noWrap/>
            <w:hideMark/>
          </w:tcPr>
          <w:p w:rsidR="00430266" w:rsidRPr="00430266" w:rsidRDefault="00430266" w:rsidP="00AB6353">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w:t>
            </w:r>
          </w:p>
        </w:tc>
        <w:tc>
          <w:tcPr>
            <w:tcW w:w="1890" w:type="dxa"/>
            <w:noWrap/>
            <w:hideMark/>
          </w:tcPr>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Means </w:t>
            </w:r>
            <w:r w:rsidRPr="00430266">
              <w:rPr>
                <w:rFonts w:asciiTheme="majorBidi" w:eastAsia="Times New Roman" w:hAnsiTheme="majorBidi" w:cstheme="majorBidi"/>
                <w:color w:val="000000"/>
                <w:sz w:val="24"/>
                <w:szCs w:val="24"/>
              </w:rPr>
              <w:t>Fall 2016</w:t>
            </w:r>
          </w:p>
        </w:tc>
        <w:tc>
          <w:tcPr>
            <w:tcW w:w="2072" w:type="dxa"/>
            <w:noWrap/>
            <w:hideMark/>
          </w:tcPr>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Means </w:t>
            </w:r>
            <w:r w:rsidRPr="00430266">
              <w:rPr>
                <w:rFonts w:asciiTheme="majorBidi" w:eastAsia="Times New Roman" w:hAnsiTheme="majorBidi" w:cstheme="majorBidi"/>
                <w:color w:val="000000"/>
                <w:sz w:val="24"/>
                <w:szCs w:val="24"/>
              </w:rPr>
              <w:t>Spring 2017</w:t>
            </w:r>
          </w:p>
        </w:tc>
        <w:tc>
          <w:tcPr>
            <w:tcW w:w="2072" w:type="dxa"/>
          </w:tcPr>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Means </w:t>
            </w:r>
          </w:p>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2016-17</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Social Studies</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76.59</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77.68</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77.14</w:t>
            </w:r>
          </w:p>
        </w:tc>
      </w:tr>
      <w:tr w:rsidR="00430266" w:rsidRPr="00430266" w:rsidTr="00BC1AB5">
        <w:trPr>
          <w:trHeight w:val="6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Arabic Language</w:t>
            </w:r>
          </w:p>
        </w:tc>
        <w:tc>
          <w:tcPr>
            <w:tcW w:w="1890"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89.68</w:t>
            </w:r>
          </w:p>
        </w:tc>
        <w:tc>
          <w:tcPr>
            <w:tcW w:w="2072"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87.89</w:t>
            </w:r>
          </w:p>
        </w:tc>
        <w:tc>
          <w:tcPr>
            <w:tcW w:w="2072" w:type="dxa"/>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88.79</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English</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78</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76.07</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77.04</w:t>
            </w:r>
          </w:p>
        </w:tc>
      </w:tr>
      <w:tr w:rsidR="00430266" w:rsidRPr="00430266" w:rsidTr="00BC1AB5">
        <w:trPr>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Math</w:t>
            </w:r>
          </w:p>
        </w:tc>
        <w:tc>
          <w:tcPr>
            <w:tcW w:w="1890"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87.5</w:t>
            </w:r>
          </w:p>
        </w:tc>
        <w:tc>
          <w:tcPr>
            <w:tcW w:w="2072"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84.16</w:t>
            </w:r>
          </w:p>
        </w:tc>
        <w:tc>
          <w:tcPr>
            <w:tcW w:w="2072" w:type="dxa"/>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85.83</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Islamic Studies</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74.84</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78.75</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76.80</w:t>
            </w:r>
          </w:p>
        </w:tc>
      </w:tr>
      <w:tr w:rsidR="00430266" w:rsidRPr="00430266" w:rsidTr="00BC1AB5">
        <w:trPr>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Secondary Education - Science </w:t>
            </w:r>
          </w:p>
        </w:tc>
        <w:tc>
          <w:tcPr>
            <w:tcW w:w="1890"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72.81</w:t>
            </w:r>
          </w:p>
        </w:tc>
        <w:tc>
          <w:tcPr>
            <w:tcW w:w="2072"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w:t>
            </w:r>
          </w:p>
        </w:tc>
        <w:tc>
          <w:tcPr>
            <w:tcW w:w="2072" w:type="dxa"/>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72.81</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Overall mean score</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79.90</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80.91</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430266">
              <w:rPr>
                <w:rFonts w:asciiTheme="majorBidi" w:hAnsiTheme="majorBidi" w:cstheme="majorBidi"/>
                <w:b/>
                <w:bCs/>
              </w:rPr>
              <w:t>80.41</w:t>
            </w:r>
          </w:p>
        </w:tc>
      </w:tr>
    </w:tbl>
    <w:p w:rsidR="00E91FDC" w:rsidRPr="00430266" w:rsidRDefault="00E91FDC" w:rsidP="00217CF6">
      <w:pPr>
        <w:pStyle w:val="ListParagraph"/>
        <w:ind w:left="0"/>
        <w:rPr>
          <w:rFonts w:asciiTheme="majorBidi" w:hAnsiTheme="majorBidi" w:cstheme="majorBidi"/>
          <w:b/>
          <w:bCs/>
        </w:rPr>
      </w:pPr>
    </w:p>
    <w:p w:rsidR="00E91FDC" w:rsidRPr="00430266" w:rsidRDefault="00DB328D" w:rsidP="00217CF6">
      <w:pPr>
        <w:pStyle w:val="ListParagraph"/>
        <w:ind w:left="0"/>
        <w:rPr>
          <w:rFonts w:asciiTheme="majorBidi" w:hAnsiTheme="majorBidi" w:cstheme="majorBidi"/>
          <w:b/>
          <w:bCs/>
        </w:rPr>
      </w:pPr>
      <w:r w:rsidRPr="00430266">
        <w:rPr>
          <w:rFonts w:asciiTheme="majorBidi" w:hAnsiTheme="majorBidi" w:cstheme="majorBidi"/>
          <w:noProof/>
        </w:rPr>
        <w:drawing>
          <wp:inline distT="0" distB="0" distL="0" distR="0" wp14:anchorId="02EAA819" wp14:editId="3FDDA22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91FDC" w:rsidRPr="00430266" w:rsidRDefault="00E91FDC" w:rsidP="00217CF6">
      <w:pPr>
        <w:pStyle w:val="ListParagraph"/>
        <w:ind w:left="0"/>
        <w:rPr>
          <w:rFonts w:asciiTheme="majorBidi" w:hAnsiTheme="majorBidi" w:cstheme="majorBidi"/>
          <w:b/>
          <w:bCs/>
        </w:rPr>
      </w:pPr>
    </w:p>
    <w:p w:rsidR="00E91FDC" w:rsidRPr="00ED1E38" w:rsidRDefault="00AB11C6" w:rsidP="00ED1E38">
      <w:pPr>
        <w:pStyle w:val="ListParagraph"/>
        <w:ind w:left="0"/>
        <w:rPr>
          <w:rFonts w:asciiTheme="majorBidi" w:hAnsiTheme="majorBidi" w:cstheme="majorBidi"/>
        </w:rPr>
      </w:pPr>
      <w:r w:rsidRPr="00ED1E38">
        <w:rPr>
          <w:rFonts w:asciiTheme="majorBidi" w:hAnsiTheme="majorBidi" w:cstheme="majorBidi"/>
        </w:rPr>
        <w:t xml:space="preserve">As for the B.Ed. Sec program, </w:t>
      </w:r>
      <w:r w:rsidR="00B05E5B" w:rsidRPr="00ED1E38">
        <w:rPr>
          <w:rFonts w:asciiTheme="majorBidi" w:hAnsiTheme="majorBidi" w:cstheme="majorBidi"/>
        </w:rPr>
        <w:t xml:space="preserve">the overall mean for Fall 2016 was 79.9% and for Spring 2017, it was 80.91%. The mean for both semesters was above 80% (mean=80.41). As </w:t>
      </w:r>
      <w:r w:rsidR="003F6DEC" w:rsidRPr="00ED1E38">
        <w:rPr>
          <w:rFonts w:asciiTheme="majorBidi" w:hAnsiTheme="majorBidi" w:cstheme="majorBidi"/>
        </w:rPr>
        <w:t xml:space="preserve">shown in </w:t>
      </w:r>
      <w:r w:rsidR="00B05E5B" w:rsidRPr="00ED1E38">
        <w:rPr>
          <w:rFonts w:asciiTheme="majorBidi" w:hAnsiTheme="majorBidi" w:cstheme="majorBidi"/>
        </w:rPr>
        <w:t>Table</w:t>
      </w:r>
      <w:r w:rsidR="003F6DEC" w:rsidRPr="00ED1E38">
        <w:rPr>
          <w:rFonts w:asciiTheme="majorBidi" w:hAnsiTheme="majorBidi" w:cstheme="majorBidi"/>
        </w:rPr>
        <w:t xml:space="preserve"> 5</w:t>
      </w:r>
      <w:r w:rsidR="00B05E5B" w:rsidRPr="00ED1E38">
        <w:rPr>
          <w:rFonts w:asciiTheme="majorBidi" w:hAnsiTheme="majorBidi" w:cstheme="majorBidi"/>
        </w:rPr>
        <w:t xml:space="preserve">, mean scores </w:t>
      </w:r>
      <w:r w:rsidR="003F6DEC" w:rsidRPr="00ED1E38">
        <w:rPr>
          <w:rFonts w:asciiTheme="majorBidi" w:hAnsiTheme="majorBidi" w:cstheme="majorBidi"/>
        </w:rPr>
        <w:t xml:space="preserve">for Fall 2016 were below 80 </w:t>
      </w:r>
      <w:r w:rsidR="00B05E5B" w:rsidRPr="00ED1E38">
        <w:rPr>
          <w:rFonts w:asciiTheme="majorBidi" w:hAnsiTheme="majorBidi" w:cstheme="majorBidi"/>
        </w:rPr>
        <w:t xml:space="preserve">in </w:t>
      </w:r>
      <w:r w:rsidR="003F6DEC" w:rsidRPr="00ED1E38">
        <w:rPr>
          <w:rFonts w:asciiTheme="majorBidi" w:hAnsiTheme="majorBidi" w:cstheme="majorBidi"/>
        </w:rPr>
        <w:t>Social S</w:t>
      </w:r>
      <w:r w:rsidR="00B05E5B" w:rsidRPr="00ED1E38">
        <w:rPr>
          <w:rFonts w:asciiTheme="majorBidi" w:hAnsiTheme="majorBidi" w:cstheme="majorBidi"/>
        </w:rPr>
        <w:t xml:space="preserve">tudies, English, </w:t>
      </w:r>
      <w:r w:rsidR="003F6DEC" w:rsidRPr="00ED1E38">
        <w:rPr>
          <w:rFonts w:asciiTheme="majorBidi" w:hAnsiTheme="majorBidi" w:cstheme="majorBidi"/>
        </w:rPr>
        <w:t xml:space="preserve">Islamic Studies, and Chemistry concentrations. For Spring 2017, mean scores were also below 80 for </w:t>
      </w:r>
      <w:r w:rsidR="003F6DEC" w:rsidRPr="00ED1E38">
        <w:rPr>
          <w:rFonts w:asciiTheme="majorBidi" w:hAnsiTheme="majorBidi" w:cstheme="majorBidi"/>
        </w:rPr>
        <w:t>Social Studies</w:t>
      </w:r>
      <w:r w:rsidR="003F6DEC" w:rsidRPr="00ED1E38">
        <w:rPr>
          <w:rFonts w:asciiTheme="majorBidi" w:hAnsiTheme="majorBidi" w:cstheme="majorBidi"/>
        </w:rPr>
        <w:t xml:space="preserve">, </w:t>
      </w:r>
      <w:r w:rsidR="003F6DEC" w:rsidRPr="00ED1E38">
        <w:rPr>
          <w:rFonts w:asciiTheme="majorBidi" w:hAnsiTheme="majorBidi" w:cstheme="majorBidi"/>
        </w:rPr>
        <w:t>English</w:t>
      </w:r>
      <w:r w:rsidR="003F6DEC" w:rsidRPr="00ED1E38">
        <w:rPr>
          <w:rFonts w:asciiTheme="majorBidi" w:hAnsiTheme="majorBidi" w:cstheme="majorBidi"/>
        </w:rPr>
        <w:t xml:space="preserve">, </w:t>
      </w:r>
      <w:r w:rsidR="003F6DEC" w:rsidRPr="00ED1E38">
        <w:rPr>
          <w:rFonts w:asciiTheme="majorBidi" w:hAnsiTheme="majorBidi" w:cstheme="majorBidi"/>
        </w:rPr>
        <w:t>Math</w:t>
      </w:r>
      <w:r w:rsidR="003F6DEC" w:rsidRPr="00ED1E38">
        <w:rPr>
          <w:rFonts w:asciiTheme="majorBidi" w:hAnsiTheme="majorBidi" w:cstheme="majorBidi"/>
        </w:rPr>
        <w:t xml:space="preserve">, and </w:t>
      </w:r>
      <w:r w:rsidR="003F6DEC" w:rsidRPr="00ED1E38">
        <w:rPr>
          <w:rFonts w:asciiTheme="majorBidi" w:hAnsiTheme="majorBidi" w:cstheme="majorBidi"/>
        </w:rPr>
        <w:t>Islamic Studies</w:t>
      </w:r>
      <w:r w:rsidR="00C9531B">
        <w:rPr>
          <w:rFonts w:asciiTheme="majorBidi" w:hAnsiTheme="majorBidi" w:cstheme="majorBidi"/>
        </w:rPr>
        <w:t xml:space="preserve"> (Table 6)</w:t>
      </w:r>
      <w:r w:rsidR="003F6DEC" w:rsidRPr="00ED1E38">
        <w:rPr>
          <w:rFonts w:asciiTheme="majorBidi" w:hAnsiTheme="majorBidi" w:cstheme="majorBidi"/>
        </w:rPr>
        <w:t>. Since the pass mark was raised to 80% starting from 2017-18, the assessment coordinator conducted focused group interviews with students from the concentrations where scores were below 80. Students indicated that they needed some orientation relating to the types of questions included in the comprehensive exam, an overview of the major topics covered, the sections of the exam and a study guide.</w:t>
      </w:r>
      <w:r w:rsidR="00ED1E38" w:rsidRPr="00ED1E38">
        <w:rPr>
          <w:rFonts w:asciiTheme="majorBidi" w:hAnsiTheme="majorBidi" w:cstheme="majorBidi"/>
        </w:rPr>
        <w:t xml:space="preserve"> </w:t>
      </w:r>
      <w:r w:rsidR="003F6DEC" w:rsidRPr="00ED1E38">
        <w:rPr>
          <w:rFonts w:asciiTheme="majorBidi" w:hAnsiTheme="majorBidi" w:cstheme="majorBidi"/>
        </w:rPr>
        <w:t xml:space="preserve">A decision was made in the fifth meeting for AY 2017-18 of the Accreditation Steering committee for program </w:t>
      </w:r>
      <w:r w:rsidR="003F6DEC" w:rsidRPr="00ED1E38">
        <w:rPr>
          <w:rFonts w:asciiTheme="majorBidi" w:hAnsiTheme="majorBidi" w:cstheme="majorBidi"/>
        </w:rPr>
        <w:lastRenderedPageBreak/>
        <w:t xml:space="preserve">coordinators to work with faculty teaching in each concentration to prepare a study guide that helps to prepare students for the exam.   </w:t>
      </w:r>
    </w:p>
    <w:sectPr w:rsidR="00E91FDC" w:rsidRPr="00ED1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6FCE"/>
    <w:multiLevelType w:val="hybridMultilevel"/>
    <w:tmpl w:val="CD2E1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E7"/>
    <w:rsid w:val="00204269"/>
    <w:rsid w:val="00212A02"/>
    <w:rsid w:val="00217CF6"/>
    <w:rsid w:val="003D424C"/>
    <w:rsid w:val="003F6DEC"/>
    <w:rsid w:val="004015D2"/>
    <w:rsid w:val="00430266"/>
    <w:rsid w:val="004646EA"/>
    <w:rsid w:val="005174E7"/>
    <w:rsid w:val="00557E80"/>
    <w:rsid w:val="00566F37"/>
    <w:rsid w:val="005A7E5D"/>
    <w:rsid w:val="00623E0B"/>
    <w:rsid w:val="00670D79"/>
    <w:rsid w:val="00686C30"/>
    <w:rsid w:val="006E5784"/>
    <w:rsid w:val="00950FB0"/>
    <w:rsid w:val="00971378"/>
    <w:rsid w:val="009A7302"/>
    <w:rsid w:val="009B78DF"/>
    <w:rsid w:val="00AB11C6"/>
    <w:rsid w:val="00AD5FF1"/>
    <w:rsid w:val="00B05E5B"/>
    <w:rsid w:val="00B56DF9"/>
    <w:rsid w:val="00C9531B"/>
    <w:rsid w:val="00D20805"/>
    <w:rsid w:val="00DB328D"/>
    <w:rsid w:val="00E91FDC"/>
    <w:rsid w:val="00ED1E38"/>
    <w:rsid w:val="00F377EC"/>
    <w:rsid w:val="00F83769"/>
    <w:rsid w:val="00F87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88094-F1C6-4EB3-99F9-CC88D0E2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7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5174E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Heading1Char">
    <w:name w:val="Heading 1 Char"/>
    <w:basedOn w:val="DefaultParagraphFont"/>
    <w:link w:val="Heading1"/>
    <w:uiPriority w:val="9"/>
    <w:rsid w:val="005174E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23E0B"/>
    <w:rPr>
      <w:b/>
      <w:bCs/>
    </w:rPr>
  </w:style>
  <w:style w:type="paragraph" w:styleId="ListParagraph">
    <w:name w:val="List Paragraph"/>
    <w:basedOn w:val="Normal"/>
    <w:uiPriority w:val="34"/>
    <w:qFormat/>
    <w:rsid w:val="00623E0B"/>
    <w:pPr>
      <w:spacing w:after="0" w:line="240" w:lineRule="auto"/>
      <w:ind w:left="720"/>
      <w:contextualSpacing/>
    </w:pPr>
    <w:rPr>
      <w:rFonts w:ascii="Times New Roman" w:eastAsiaTheme="minorEastAsia"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264">
      <w:bodyDiv w:val="1"/>
      <w:marLeft w:val="0"/>
      <w:marRight w:val="0"/>
      <w:marTop w:val="0"/>
      <w:marBottom w:val="0"/>
      <w:divBdr>
        <w:top w:val="none" w:sz="0" w:space="0" w:color="auto"/>
        <w:left w:val="none" w:sz="0" w:space="0" w:color="auto"/>
        <w:bottom w:val="none" w:sz="0" w:space="0" w:color="auto"/>
        <w:right w:val="none" w:sz="0" w:space="0" w:color="auto"/>
      </w:divBdr>
    </w:div>
    <w:div w:id="135681015">
      <w:bodyDiv w:val="1"/>
      <w:marLeft w:val="0"/>
      <w:marRight w:val="0"/>
      <w:marTop w:val="0"/>
      <w:marBottom w:val="0"/>
      <w:divBdr>
        <w:top w:val="none" w:sz="0" w:space="0" w:color="auto"/>
        <w:left w:val="none" w:sz="0" w:space="0" w:color="auto"/>
        <w:bottom w:val="none" w:sz="0" w:space="0" w:color="auto"/>
        <w:right w:val="none" w:sz="0" w:space="0" w:color="auto"/>
      </w:divBdr>
    </w:div>
    <w:div w:id="252974672">
      <w:bodyDiv w:val="1"/>
      <w:marLeft w:val="0"/>
      <w:marRight w:val="0"/>
      <w:marTop w:val="0"/>
      <w:marBottom w:val="0"/>
      <w:divBdr>
        <w:top w:val="none" w:sz="0" w:space="0" w:color="auto"/>
        <w:left w:val="none" w:sz="0" w:space="0" w:color="auto"/>
        <w:bottom w:val="none" w:sz="0" w:space="0" w:color="auto"/>
        <w:right w:val="none" w:sz="0" w:space="0" w:color="auto"/>
      </w:divBdr>
    </w:div>
    <w:div w:id="378015671">
      <w:bodyDiv w:val="1"/>
      <w:marLeft w:val="0"/>
      <w:marRight w:val="0"/>
      <w:marTop w:val="0"/>
      <w:marBottom w:val="0"/>
      <w:divBdr>
        <w:top w:val="none" w:sz="0" w:space="0" w:color="auto"/>
        <w:left w:val="none" w:sz="0" w:space="0" w:color="auto"/>
        <w:bottom w:val="none" w:sz="0" w:space="0" w:color="auto"/>
        <w:right w:val="none" w:sz="0" w:space="0" w:color="auto"/>
      </w:divBdr>
    </w:div>
    <w:div w:id="406925478">
      <w:bodyDiv w:val="1"/>
      <w:marLeft w:val="0"/>
      <w:marRight w:val="0"/>
      <w:marTop w:val="0"/>
      <w:marBottom w:val="0"/>
      <w:divBdr>
        <w:top w:val="none" w:sz="0" w:space="0" w:color="auto"/>
        <w:left w:val="none" w:sz="0" w:space="0" w:color="auto"/>
        <w:bottom w:val="none" w:sz="0" w:space="0" w:color="auto"/>
        <w:right w:val="none" w:sz="0" w:space="0" w:color="auto"/>
      </w:divBdr>
    </w:div>
    <w:div w:id="634456797">
      <w:bodyDiv w:val="1"/>
      <w:marLeft w:val="0"/>
      <w:marRight w:val="0"/>
      <w:marTop w:val="0"/>
      <w:marBottom w:val="0"/>
      <w:divBdr>
        <w:top w:val="none" w:sz="0" w:space="0" w:color="auto"/>
        <w:left w:val="none" w:sz="0" w:space="0" w:color="auto"/>
        <w:bottom w:val="none" w:sz="0" w:space="0" w:color="auto"/>
        <w:right w:val="none" w:sz="0" w:space="0" w:color="auto"/>
      </w:divBdr>
    </w:div>
    <w:div w:id="858934074">
      <w:bodyDiv w:val="1"/>
      <w:marLeft w:val="0"/>
      <w:marRight w:val="0"/>
      <w:marTop w:val="0"/>
      <w:marBottom w:val="0"/>
      <w:divBdr>
        <w:top w:val="none" w:sz="0" w:space="0" w:color="auto"/>
        <w:left w:val="none" w:sz="0" w:space="0" w:color="auto"/>
        <w:bottom w:val="none" w:sz="0" w:space="0" w:color="auto"/>
        <w:right w:val="none" w:sz="0" w:space="0" w:color="auto"/>
      </w:divBdr>
    </w:div>
    <w:div w:id="1152911938">
      <w:bodyDiv w:val="1"/>
      <w:marLeft w:val="0"/>
      <w:marRight w:val="0"/>
      <w:marTop w:val="0"/>
      <w:marBottom w:val="0"/>
      <w:divBdr>
        <w:top w:val="none" w:sz="0" w:space="0" w:color="auto"/>
        <w:left w:val="none" w:sz="0" w:space="0" w:color="auto"/>
        <w:bottom w:val="none" w:sz="0" w:space="0" w:color="auto"/>
        <w:right w:val="none" w:sz="0" w:space="0" w:color="auto"/>
      </w:divBdr>
    </w:div>
    <w:div w:id="1832334587">
      <w:bodyDiv w:val="1"/>
      <w:marLeft w:val="0"/>
      <w:marRight w:val="0"/>
      <w:marTop w:val="0"/>
      <w:marBottom w:val="0"/>
      <w:divBdr>
        <w:top w:val="none" w:sz="0" w:space="0" w:color="auto"/>
        <w:left w:val="none" w:sz="0" w:space="0" w:color="auto"/>
        <w:bottom w:val="none" w:sz="0" w:space="0" w:color="auto"/>
        <w:right w:val="none" w:sz="0" w:space="0" w:color="auto"/>
      </w:divBdr>
    </w:div>
    <w:div w:id="1839691714">
      <w:bodyDiv w:val="1"/>
      <w:marLeft w:val="0"/>
      <w:marRight w:val="0"/>
      <w:marTop w:val="0"/>
      <w:marBottom w:val="0"/>
      <w:divBdr>
        <w:top w:val="none" w:sz="0" w:space="0" w:color="auto"/>
        <w:left w:val="none" w:sz="0" w:space="0" w:color="auto"/>
        <w:bottom w:val="none" w:sz="0" w:space="0" w:color="auto"/>
        <w:right w:val="none" w:sz="0" w:space="0" w:color="auto"/>
      </w:divBdr>
    </w:div>
    <w:div w:id="195370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ustomXml" Target="../customXml/item3.xml"/><Relationship Id="rId5" Type="http://schemas.openxmlformats.org/officeDocument/2006/relationships/chart" Target="charts/chart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3" Type="http://schemas.openxmlformats.org/officeDocument/2006/relationships/oleObject" Target="file:///D:\Users\maha.cherif\Desktop\Accreditation\7%20NCATE%20Annual%20Reports\April%202018\Comp%20exam%20scores\Meeting%20Licensure%20requirement%20-%20Comp%20exam%20scores%20-%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ers\maha.cherif\Desktop\Accreditation\7%20NCATE%20Annual%20Reports\April%202018\Comp%20exam%20scores\Meeting%20Licensure%20requirement%20-%20Comp%20exam%20scores%20-%20Autosav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0" i="0" baseline="0">
                <a:effectLst/>
              </a:rPr>
              <a:t>Comprehensive exam mean scores for advanced programs 2014-1017</a:t>
            </a:r>
            <a:endParaRPr lang="en-US" sz="1600" b="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'All pros analysis'!$B$4</c:f>
              <c:strCache>
                <c:ptCount val="1"/>
                <c:pt idx="0">
                  <c:v>MSPED</c:v>
                </c:pt>
              </c:strCache>
            </c:strRef>
          </c:tx>
          <c:spPr>
            <a:solidFill>
              <a:schemeClr val="accent1"/>
            </a:solidFill>
            <a:ln>
              <a:noFill/>
            </a:ln>
            <a:effectLst/>
          </c:spPr>
          <c:invertIfNegative val="0"/>
          <c:cat>
            <c:strRef>
              <c:f>'All pros analysis'!$C$3:$E$3</c:f>
              <c:strCache>
                <c:ptCount val="3"/>
                <c:pt idx="0">
                  <c:v>2014/15</c:v>
                </c:pt>
                <c:pt idx="1">
                  <c:v>2015/16</c:v>
                </c:pt>
                <c:pt idx="2">
                  <c:v>2016/17</c:v>
                </c:pt>
              </c:strCache>
            </c:strRef>
          </c:cat>
          <c:val>
            <c:numRef>
              <c:f>'All pros analysis'!$C$4:$E$4</c:f>
              <c:numCache>
                <c:formatCode>General</c:formatCode>
                <c:ptCount val="3"/>
                <c:pt idx="0">
                  <c:v>80</c:v>
                </c:pt>
                <c:pt idx="1">
                  <c:v>82</c:v>
                </c:pt>
                <c:pt idx="2">
                  <c:v>85</c:v>
                </c:pt>
              </c:numCache>
            </c:numRef>
          </c:val>
        </c:ser>
        <c:ser>
          <c:idx val="1"/>
          <c:order val="1"/>
          <c:tx>
            <c:strRef>
              <c:f>'All pros analysis'!$B$5</c:f>
              <c:strCache>
                <c:ptCount val="1"/>
                <c:pt idx="0">
                  <c:v>MEDEL</c:v>
                </c:pt>
              </c:strCache>
            </c:strRef>
          </c:tx>
          <c:spPr>
            <a:solidFill>
              <a:schemeClr val="accent2"/>
            </a:solidFill>
            <a:ln>
              <a:noFill/>
            </a:ln>
            <a:effectLst/>
          </c:spPr>
          <c:invertIfNegative val="0"/>
          <c:cat>
            <c:strRef>
              <c:f>'All pros analysis'!$C$3:$E$3</c:f>
              <c:strCache>
                <c:ptCount val="3"/>
                <c:pt idx="0">
                  <c:v>2014/15</c:v>
                </c:pt>
                <c:pt idx="1">
                  <c:v>2015/16</c:v>
                </c:pt>
                <c:pt idx="2">
                  <c:v>2016/17</c:v>
                </c:pt>
              </c:strCache>
            </c:strRef>
          </c:cat>
          <c:val>
            <c:numRef>
              <c:f>'All pros analysis'!$C$5:$E$5</c:f>
              <c:numCache>
                <c:formatCode>General</c:formatCode>
                <c:ptCount val="3"/>
                <c:pt idx="0">
                  <c:v>80.5</c:v>
                </c:pt>
                <c:pt idx="1">
                  <c:v>74.7</c:v>
                </c:pt>
                <c:pt idx="2">
                  <c:v>84.6</c:v>
                </c:pt>
              </c:numCache>
            </c:numRef>
          </c:val>
        </c:ser>
        <c:dLbls>
          <c:showLegendKey val="0"/>
          <c:showVal val="0"/>
          <c:showCatName val="0"/>
          <c:showSerName val="0"/>
          <c:showPercent val="0"/>
          <c:showBubbleSize val="0"/>
        </c:dLbls>
        <c:gapWidth val="219"/>
        <c:overlap val="-27"/>
        <c:axId val="597829872"/>
        <c:axId val="597829480"/>
      </c:barChart>
      <c:catAx>
        <c:axId val="59782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29480"/>
        <c:crosses val="autoZero"/>
        <c:auto val="1"/>
        <c:lblAlgn val="ctr"/>
        <c:lblOffset val="100"/>
        <c:noMultiLvlLbl val="0"/>
      </c:catAx>
      <c:valAx>
        <c:axId val="597829480"/>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2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Comprehensive exam mean scores for</a:t>
            </a:r>
            <a:r>
              <a:rPr lang="en-US" baseline="0"/>
              <a:t> </a:t>
            </a:r>
            <a:r>
              <a:rPr lang="en-US"/>
              <a:t>B.Ed. Sec 2016-17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'All pros analysis'!$V$56</c:f>
              <c:strCache>
                <c:ptCount val="1"/>
                <c:pt idx="0">
                  <c:v>Fall 2016</c:v>
                </c:pt>
              </c:strCache>
            </c:strRef>
          </c:tx>
          <c:spPr>
            <a:solidFill>
              <a:schemeClr val="accent1"/>
            </a:solidFill>
            <a:ln>
              <a:noFill/>
            </a:ln>
            <a:effectLst/>
          </c:spPr>
          <c:invertIfNegative val="0"/>
          <c:cat>
            <c:strRef>
              <c:f>'All pros analysis'!$U$57:$U$62</c:f>
              <c:strCache>
                <c:ptCount val="6"/>
                <c:pt idx="0">
                  <c:v>Secondary Education - Social Studies</c:v>
                </c:pt>
                <c:pt idx="1">
                  <c:v>Secondary Education - Arabic Language</c:v>
                </c:pt>
                <c:pt idx="2">
                  <c:v>Secondary Education - English</c:v>
                </c:pt>
                <c:pt idx="3">
                  <c:v>Secondary Education – Math</c:v>
                </c:pt>
                <c:pt idx="4">
                  <c:v>Secondary Education – Islamic Studies</c:v>
                </c:pt>
                <c:pt idx="5">
                  <c:v>Secondary Education - Science </c:v>
                </c:pt>
              </c:strCache>
            </c:strRef>
          </c:cat>
          <c:val>
            <c:numRef>
              <c:f>'All pros analysis'!$V$57:$V$62</c:f>
            </c:numRef>
          </c:val>
        </c:ser>
        <c:ser>
          <c:idx val="1"/>
          <c:order val="1"/>
          <c:tx>
            <c:strRef>
              <c:f>'All pros analysis'!$W$56</c:f>
              <c:strCache>
                <c:ptCount val="1"/>
                <c:pt idx="0">
                  <c:v>Spring 2017</c:v>
                </c:pt>
              </c:strCache>
            </c:strRef>
          </c:tx>
          <c:spPr>
            <a:solidFill>
              <a:schemeClr val="accent2"/>
            </a:solidFill>
            <a:ln>
              <a:noFill/>
            </a:ln>
            <a:effectLst/>
          </c:spPr>
          <c:invertIfNegative val="0"/>
          <c:cat>
            <c:strRef>
              <c:f>'All pros analysis'!$U$57:$U$62</c:f>
              <c:strCache>
                <c:ptCount val="6"/>
                <c:pt idx="0">
                  <c:v>Secondary Education - Social Studies</c:v>
                </c:pt>
                <c:pt idx="1">
                  <c:v>Secondary Education - Arabic Language</c:v>
                </c:pt>
                <c:pt idx="2">
                  <c:v>Secondary Education - English</c:v>
                </c:pt>
                <c:pt idx="3">
                  <c:v>Secondary Education – Math</c:v>
                </c:pt>
                <c:pt idx="4">
                  <c:v>Secondary Education – Islamic Studies</c:v>
                </c:pt>
                <c:pt idx="5">
                  <c:v>Secondary Education - Science </c:v>
                </c:pt>
              </c:strCache>
            </c:strRef>
          </c:cat>
          <c:val>
            <c:numRef>
              <c:f>'All pros analysis'!$W$57:$W$62</c:f>
            </c:numRef>
          </c:val>
        </c:ser>
        <c:ser>
          <c:idx val="2"/>
          <c:order val="2"/>
          <c:tx>
            <c:strRef>
              <c:f>'All pros analysis'!$X$56</c:f>
              <c:strCache>
                <c:ptCount val="1"/>
                <c:pt idx="0">
                  <c:v>Mean 2016-17</c:v>
                </c:pt>
              </c:strCache>
            </c:strRef>
          </c:tx>
          <c:spPr>
            <a:solidFill>
              <a:schemeClr val="accent3"/>
            </a:solidFill>
            <a:ln>
              <a:noFill/>
            </a:ln>
            <a:effectLst/>
          </c:spPr>
          <c:invertIfNegative val="0"/>
          <c:cat>
            <c:strRef>
              <c:f>'All pros analysis'!$U$57:$U$62</c:f>
              <c:strCache>
                <c:ptCount val="6"/>
                <c:pt idx="0">
                  <c:v>Secondary Education - Social Studies</c:v>
                </c:pt>
                <c:pt idx="1">
                  <c:v>Secondary Education - Arabic Language</c:v>
                </c:pt>
                <c:pt idx="2">
                  <c:v>Secondary Education - English</c:v>
                </c:pt>
                <c:pt idx="3">
                  <c:v>Secondary Education – Math</c:v>
                </c:pt>
                <c:pt idx="4">
                  <c:v>Secondary Education – Islamic Studies</c:v>
                </c:pt>
                <c:pt idx="5">
                  <c:v>Secondary Education - Science </c:v>
                </c:pt>
              </c:strCache>
            </c:strRef>
          </c:cat>
          <c:val>
            <c:numRef>
              <c:f>'All pros analysis'!$X$57:$X$62</c:f>
              <c:numCache>
                <c:formatCode>General</c:formatCode>
                <c:ptCount val="6"/>
                <c:pt idx="0">
                  <c:v>77.135000000000005</c:v>
                </c:pt>
                <c:pt idx="1">
                  <c:v>88.784999999999997</c:v>
                </c:pt>
                <c:pt idx="2">
                  <c:v>77.034999999999997</c:v>
                </c:pt>
                <c:pt idx="3">
                  <c:v>85.83</c:v>
                </c:pt>
                <c:pt idx="4">
                  <c:v>76.795000000000002</c:v>
                </c:pt>
                <c:pt idx="5">
                  <c:v>72.81</c:v>
                </c:pt>
              </c:numCache>
            </c:numRef>
          </c:val>
        </c:ser>
        <c:dLbls>
          <c:showLegendKey val="0"/>
          <c:showVal val="0"/>
          <c:showCatName val="0"/>
          <c:showSerName val="0"/>
          <c:showPercent val="0"/>
          <c:showBubbleSize val="0"/>
        </c:dLbls>
        <c:gapWidth val="219"/>
        <c:overlap val="-27"/>
        <c:axId val="597833008"/>
        <c:axId val="597833400"/>
      </c:barChart>
      <c:catAx>
        <c:axId val="59783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33400"/>
        <c:crosses val="autoZero"/>
        <c:auto val="1"/>
        <c:lblAlgn val="ctr"/>
        <c:lblOffset val="100"/>
        <c:noMultiLvlLbl val="0"/>
      </c:catAx>
      <c:valAx>
        <c:axId val="597833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3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QPT3VHF6MKWP-83287781-45508</_dlc_DocId>
    <_dlc_DocIdUrl xmlns="4595ca7b-3a15-4971-af5f-cadc29c03e04">
      <Url>https://qataruniversity-prd.qu.edu.qa/_layouts/15/DocIdRedir.aspx?ID=QPT3VHF6MKWP-83287781-45508</Url>
      <Description>QPT3VHF6MKWP-83287781-45508</Description>
    </_dlc_DocIdUrl>
  </documentManagement>
</p:properties>
</file>

<file path=customXml/itemProps1.xml><?xml version="1.0" encoding="utf-8"?>
<ds:datastoreItem xmlns:ds="http://schemas.openxmlformats.org/officeDocument/2006/customXml" ds:itemID="{1F08FE6D-24BF-472C-AE2D-63B982A0F2AB}"/>
</file>

<file path=customXml/itemProps2.xml><?xml version="1.0" encoding="utf-8"?>
<ds:datastoreItem xmlns:ds="http://schemas.openxmlformats.org/officeDocument/2006/customXml" ds:itemID="{860130BD-8DD6-458E-BB7D-ECF994B60354}"/>
</file>

<file path=customXml/itemProps3.xml><?xml version="1.0" encoding="utf-8"?>
<ds:datastoreItem xmlns:ds="http://schemas.openxmlformats.org/officeDocument/2006/customXml" ds:itemID="{ABE1AFA7-F0B8-4C3B-B5B9-D0CF1BBBAAC0}"/>
</file>

<file path=customXml/itemProps4.xml><?xml version="1.0" encoding="utf-8"?>
<ds:datastoreItem xmlns:ds="http://schemas.openxmlformats.org/officeDocument/2006/customXml" ds:itemID="{02450775-A327-4900-962E-A44BB68FAFE9}"/>
</file>

<file path=docProps/app.xml><?xml version="1.0" encoding="utf-8"?>
<Properties xmlns="http://schemas.openxmlformats.org/officeDocument/2006/extended-properties" xmlns:vt="http://schemas.openxmlformats.org/officeDocument/2006/docPropsVTypes">
  <Template>Normal</Template>
  <TotalTime>625</TotalTime>
  <Pages>6</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9</cp:revision>
  <dcterms:created xsi:type="dcterms:W3CDTF">2018-03-08T06:21:00Z</dcterms:created>
  <dcterms:modified xsi:type="dcterms:W3CDTF">2018-04-21T20:36:00Z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e9390f1b-254b-40f3-96d6-2d7d182535a0</vt:lpwstr>
  </property>
</Properties>
</file>